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141D1C" w:rsidP="00A870EE">
      <w:pPr>
        <w:spacing w:beforeLines="50" w:before="156"/>
        <w:jc w:val="center"/>
        <w:rPr>
          <w:rFonts w:ascii="宋体" w:hAnsi="宋体" w:cs="宋体"/>
          <w:b/>
          <w:sz w:val="52"/>
          <w:szCs w:val="52"/>
        </w:rPr>
      </w:pPr>
      <w:bookmarkStart w:id="0" w:name="_Toc88969212"/>
      <w:r w:rsidRPr="00141D1C">
        <w:rPr>
          <w:rFonts w:ascii="宋体" w:hAnsi="宋体" w:cs="宋体" w:hint="eastAsia"/>
          <w:b/>
          <w:sz w:val="52"/>
          <w:szCs w:val="52"/>
        </w:rPr>
        <w:t>富荣福康混合型</w:t>
      </w:r>
      <w:r w:rsidR="00BF2693" w:rsidRPr="00BF2693">
        <w:rPr>
          <w:rFonts w:ascii="宋体" w:hAnsi="宋体" w:cs="宋体" w:hint="eastAsia"/>
          <w:b/>
          <w:sz w:val="52"/>
          <w:szCs w:val="52"/>
        </w:rPr>
        <w:t>证券投资基金</w:t>
      </w:r>
      <w:r w:rsidR="007026B8">
        <w:rPr>
          <w:rFonts w:ascii="宋体" w:hAnsi="宋体" w:cs="宋体" w:hint="eastAsia"/>
          <w:b/>
          <w:sz w:val="52"/>
          <w:szCs w:val="52"/>
        </w:rPr>
        <w:t>更新的招募说明书摘要</w:t>
      </w:r>
    </w:p>
    <w:p w:rsidR="0045798E" w:rsidRDefault="007026B8" w:rsidP="00A870EE">
      <w:pPr>
        <w:spacing w:beforeLines="50" w:before="156"/>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A870EE">
      <w:pPr>
        <w:spacing w:beforeLines="50" w:before="156"/>
        <w:jc w:val="center"/>
        <w:rPr>
          <w:b/>
          <w:sz w:val="36"/>
          <w:szCs w:val="20"/>
        </w:rPr>
      </w:pPr>
      <w:r>
        <w:rPr>
          <w:rFonts w:hint="eastAsia"/>
          <w:b/>
          <w:sz w:val="36"/>
          <w:szCs w:val="20"/>
        </w:rPr>
        <w:t>基金管理人：富荣基金管理有限公司</w:t>
      </w:r>
    </w:p>
    <w:p w:rsidR="00141D1C" w:rsidRPr="00B8145F" w:rsidRDefault="00BF2693" w:rsidP="00141D1C">
      <w:pPr>
        <w:autoSpaceDE w:val="0"/>
        <w:autoSpaceDN w:val="0"/>
        <w:adjustRightInd w:val="0"/>
        <w:snapToGrid w:val="0"/>
        <w:spacing w:line="360" w:lineRule="auto"/>
        <w:ind w:firstLineChars="300" w:firstLine="1084"/>
        <w:rPr>
          <w:rFonts w:ascii="Arial" w:hAnsi="Arial" w:cs="Arial"/>
          <w:b/>
          <w:bCs/>
          <w:sz w:val="36"/>
          <w:szCs w:val="36"/>
        </w:rPr>
      </w:pPr>
      <w:r w:rsidRPr="00B679CE">
        <w:rPr>
          <w:rFonts w:ascii="Arial Unicode MS" w:hAnsi="Arial Unicode MS" w:cs="Arial"/>
          <w:b/>
          <w:sz w:val="36"/>
          <w:szCs w:val="36"/>
        </w:rPr>
        <w:t>基金托管人：</w:t>
      </w:r>
      <w:r w:rsidR="00141D1C">
        <w:rPr>
          <w:rFonts w:ascii="Arial" w:hAnsi="Arial" w:hint="eastAsia"/>
          <w:b/>
          <w:sz w:val="36"/>
          <w:szCs w:val="36"/>
        </w:rPr>
        <w:t>中国光大银行</w:t>
      </w:r>
      <w:r w:rsidR="00141D1C" w:rsidRPr="00B8145F">
        <w:rPr>
          <w:rFonts w:ascii="Arial" w:hAnsi="Arial" w:hint="eastAsia"/>
          <w:b/>
          <w:sz w:val="36"/>
          <w:szCs w:val="36"/>
        </w:rPr>
        <w:t>股份有限公司</w:t>
      </w:r>
    </w:p>
    <w:p w:rsidR="00363524" w:rsidRPr="00B8145F" w:rsidRDefault="00363524" w:rsidP="00363524">
      <w:pPr>
        <w:autoSpaceDE w:val="0"/>
        <w:autoSpaceDN w:val="0"/>
        <w:adjustRightInd w:val="0"/>
        <w:snapToGrid w:val="0"/>
        <w:spacing w:line="360" w:lineRule="auto"/>
        <w:jc w:val="center"/>
        <w:rPr>
          <w:rFonts w:ascii="Arial" w:hAnsi="Arial" w:cs="Arial"/>
          <w:b/>
          <w:bCs/>
          <w:sz w:val="36"/>
          <w:szCs w:val="36"/>
        </w:rPr>
      </w:pPr>
    </w:p>
    <w:p w:rsidR="00363524" w:rsidRPr="00141D1C" w:rsidRDefault="00363524" w:rsidP="00363524">
      <w:pPr>
        <w:autoSpaceDE w:val="0"/>
        <w:autoSpaceDN w:val="0"/>
        <w:adjustRightInd w:val="0"/>
        <w:snapToGrid w:val="0"/>
        <w:spacing w:line="360" w:lineRule="auto"/>
        <w:ind w:firstLineChars="400" w:firstLine="1446"/>
        <w:rPr>
          <w:rFonts w:ascii="Arial" w:hAnsi="Arial"/>
          <w:b/>
          <w:sz w:val="36"/>
          <w:szCs w:val="36"/>
        </w:rPr>
      </w:pPr>
    </w:p>
    <w:p w:rsidR="0093512A" w:rsidRDefault="0093512A">
      <w:pPr>
        <w:spacing w:line="360" w:lineRule="auto"/>
        <w:rPr>
          <w:rFonts w:ascii="宋体" w:hAnsi="宋体"/>
          <w:color w:val="000000"/>
          <w:sz w:val="24"/>
        </w:rPr>
      </w:pPr>
    </w:p>
    <w:p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w:t>
      </w:r>
      <w:r w:rsidRPr="00211BED">
        <w:rPr>
          <w:rFonts w:ascii="Arial Unicode MS" w:hAnsi="Arial Unicode MS" w:cs="Arial"/>
          <w:bCs w:val="0"/>
          <w:sz w:val="28"/>
          <w:szCs w:val="28"/>
        </w:rPr>
        <w:t>重要提示</w:t>
      </w:r>
      <w:r w:rsidRPr="00B679CE">
        <w:rPr>
          <w:rFonts w:ascii="Arial Unicode MS" w:hAnsi="Arial Unicode MS" w:cs="Arial"/>
          <w:b w:val="0"/>
          <w:bCs w:val="0"/>
          <w:sz w:val="28"/>
          <w:szCs w:val="28"/>
        </w:rPr>
        <w:t>】</w:t>
      </w:r>
    </w:p>
    <w:p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szCs w:val="21"/>
        </w:rPr>
        <w:t>本基金根据2017年</w:t>
      </w:r>
      <w:r w:rsidRPr="00141D1C">
        <w:rPr>
          <w:rFonts w:asciiTheme="minorEastAsia" w:hAnsiTheme="minorEastAsia" w:cs="Arial" w:hint="eastAsia"/>
          <w:szCs w:val="21"/>
        </w:rPr>
        <w:t>6</w:t>
      </w:r>
      <w:r w:rsidRPr="00141D1C">
        <w:rPr>
          <w:rFonts w:asciiTheme="minorEastAsia" w:hAnsiTheme="minorEastAsia" w:cs="Arial"/>
          <w:szCs w:val="21"/>
        </w:rPr>
        <w:t>月</w:t>
      </w:r>
      <w:r w:rsidRPr="00141D1C">
        <w:rPr>
          <w:rFonts w:asciiTheme="minorEastAsia" w:hAnsiTheme="minorEastAsia" w:cs="Arial" w:hint="eastAsia"/>
          <w:szCs w:val="21"/>
        </w:rPr>
        <w:t>8</w:t>
      </w:r>
      <w:r w:rsidRPr="00141D1C">
        <w:rPr>
          <w:rFonts w:asciiTheme="minorEastAsia" w:hAnsiTheme="minorEastAsia" w:cs="Arial"/>
          <w:szCs w:val="21"/>
        </w:rPr>
        <w:t>日中国证券监督管理委员会（以下简称</w:t>
      </w:r>
      <w:r w:rsidRPr="00141D1C">
        <w:rPr>
          <w:rFonts w:asciiTheme="minorEastAsia" w:hAnsiTheme="minorEastAsia" w:cs="Arial" w:hint="eastAsia"/>
          <w:szCs w:val="21"/>
        </w:rPr>
        <w:t>“</w:t>
      </w:r>
      <w:r w:rsidRPr="00141D1C">
        <w:rPr>
          <w:rFonts w:asciiTheme="minorEastAsia" w:hAnsiTheme="minorEastAsia" w:cs="Arial"/>
          <w:szCs w:val="21"/>
        </w:rPr>
        <w:t>中国证监会</w:t>
      </w:r>
      <w:r w:rsidRPr="00141D1C">
        <w:rPr>
          <w:rFonts w:asciiTheme="minorEastAsia" w:hAnsiTheme="minorEastAsia" w:cs="Arial" w:hint="eastAsia"/>
          <w:szCs w:val="21"/>
        </w:rPr>
        <w:t>”</w:t>
      </w:r>
      <w:r w:rsidRPr="00141D1C">
        <w:rPr>
          <w:rFonts w:asciiTheme="minorEastAsia" w:hAnsiTheme="minorEastAsia" w:cs="Arial"/>
          <w:szCs w:val="21"/>
        </w:rPr>
        <w:t>）《关于</w:t>
      </w:r>
      <w:r w:rsidRPr="00141D1C">
        <w:rPr>
          <w:rFonts w:asciiTheme="minorEastAsia" w:hAnsiTheme="minorEastAsia" w:cs="Arial" w:hint="eastAsia"/>
          <w:szCs w:val="21"/>
        </w:rPr>
        <w:t>准予</w:t>
      </w:r>
      <w:r w:rsidRPr="00141D1C">
        <w:rPr>
          <w:rFonts w:asciiTheme="minorEastAsia" w:hAnsiTheme="minorEastAsia" w:cs="Arial"/>
          <w:szCs w:val="21"/>
        </w:rPr>
        <w:t>富荣</w:t>
      </w:r>
      <w:r w:rsidRPr="00141D1C">
        <w:rPr>
          <w:rFonts w:asciiTheme="minorEastAsia" w:hAnsiTheme="minorEastAsia" w:cs="Arial" w:hint="eastAsia"/>
          <w:szCs w:val="21"/>
        </w:rPr>
        <w:t>福康混合</w:t>
      </w:r>
      <w:r w:rsidRPr="00141D1C">
        <w:rPr>
          <w:rFonts w:asciiTheme="minorEastAsia" w:hAnsiTheme="minorEastAsia" w:cs="Arial"/>
          <w:szCs w:val="21"/>
        </w:rPr>
        <w:t>型证券投资基金</w:t>
      </w:r>
      <w:r w:rsidRPr="00141D1C">
        <w:rPr>
          <w:rFonts w:asciiTheme="minorEastAsia" w:hAnsiTheme="minorEastAsia" w:cs="Arial" w:hint="eastAsia"/>
          <w:szCs w:val="21"/>
        </w:rPr>
        <w:t>注册</w:t>
      </w:r>
      <w:r w:rsidRPr="00141D1C">
        <w:rPr>
          <w:rFonts w:asciiTheme="minorEastAsia" w:hAnsiTheme="minorEastAsia" w:cs="Arial"/>
          <w:szCs w:val="21"/>
        </w:rPr>
        <w:t>的批复》（证监许可[2017]</w:t>
      </w:r>
      <w:r w:rsidRPr="00141D1C">
        <w:rPr>
          <w:rFonts w:asciiTheme="minorEastAsia" w:hAnsiTheme="minorEastAsia" w:cs="Arial" w:hint="eastAsia"/>
          <w:szCs w:val="21"/>
        </w:rPr>
        <w:t>86</w:t>
      </w:r>
      <w:r w:rsidRPr="00141D1C">
        <w:rPr>
          <w:rFonts w:asciiTheme="minorEastAsia" w:hAnsiTheme="minorEastAsia" w:cs="Arial"/>
          <w:szCs w:val="21"/>
        </w:rPr>
        <w:t>7号）进行募集。</w:t>
      </w:r>
      <w:r w:rsidRPr="00141D1C">
        <w:rPr>
          <w:rFonts w:asciiTheme="minorEastAsia" w:hAnsiTheme="minorEastAsia" w:cs="Arial" w:hint="eastAsia"/>
          <w:szCs w:val="21"/>
        </w:rPr>
        <w:t>本基金于</w:t>
      </w:r>
      <w:r w:rsidRPr="00141D1C">
        <w:rPr>
          <w:rFonts w:asciiTheme="minorEastAsia" w:hAnsiTheme="minorEastAsia" w:cs="Arial"/>
          <w:szCs w:val="21"/>
        </w:rPr>
        <w:t>2018年2月</w:t>
      </w:r>
      <w:r w:rsidRPr="00141D1C">
        <w:rPr>
          <w:rFonts w:asciiTheme="minorEastAsia" w:hAnsiTheme="minorEastAsia" w:cs="Arial" w:hint="eastAsia"/>
          <w:szCs w:val="21"/>
        </w:rPr>
        <w:t>11</w:t>
      </w:r>
      <w:r w:rsidRPr="00141D1C">
        <w:rPr>
          <w:rFonts w:asciiTheme="minorEastAsia" w:hAnsiTheme="minorEastAsia" w:cs="Arial"/>
          <w:szCs w:val="21"/>
        </w:rPr>
        <w:t>日正式生效。</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sidRPr="00141D1C">
        <w:rPr>
          <w:rFonts w:asciiTheme="minorEastAsia" w:hAnsiTheme="minorEastAsia" w:cs="Arial" w:hint="eastAsia"/>
          <w:szCs w:val="21"/>
        </w:rPr>
        <w:t>作出</w:t>
      </w:r>
      <w:proofErr w:type="gramEnd"/>
      <w:r w:rsidRPr="00141D1C">
        <w:rPr>
          <w:rFonts w:asciiTheme="minorEastAsia" w:hAnsiTheme="minorEastAsia" w:cs="Arial" w:hint="eastAsia"/>
          <w:szCs w:val="21"/>
        </w:rPr>
        <w:t>实质性判断或保证，也不表明投资于本基金没有风险。</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本基金以</w:t>
      </w:r>
      <w:r w:rsidRPr="00141D1C">
        <w:rPr>
          <w:rFonts w:asciiTheme="minorEastAsia" w:hAnsiTheme="minorEastAsia" w:cs="Arial"/>
          <w:szCs w:val="21"/>
        </w:rPr>
        <w:t>1.00</w:t>
      </w:r>
      <w:r w:rsidRPr="00141D1C">
        <w:rPr>
          <w:rFonts w:asciiTheme="minorEastAsia" w:hAnsiTheme="minorEastAsia" w:cs="Arial" w:hint="eastAsia"/>
          <w:szCs w:val="21"/>
        </w:rPr>
        <w:t>元发售面值募集基金份额，在市场波动等因素的影响下，基金投资有可能出现亏损或基金份额净值低于发售面值。</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141D1C">
        <w:rPr>
          <w:rFonts w:asciiTheme="minorEastAsia" w:hAnsiTheme="minorEastAsia" w:cs="Arial"/>
          <w:szCs w:val="21"/>
        </w:rPr>
        <w:t>“</w:t>
      </w:r>
      <w:r w:rsidRPr="00141D1C">
        <w:rPr>
          <w:rFonts w:asciiTheme="minorEastAsia" w:hAnsiTheme="minorEastAsia" w:cs="Arial" w:hint="eastAsia"/>
          <w:szCs w:val="21"/>
        </w:rPr>
        <w:t>买者自负</w:t>
      </w:r>
      <w:r w:rsidRPr="00141D1C">
        <w:rPr>
          <w:rFonts w:asciiTheme="minorEastAsia" w:hAnsiTheme="minorEastAsia" w:cs="Arial"/>
          <w:szCs w:val="21"/>
        </w:rPr>
        <w:t>”</w:t>
      </w:r>
      <w:r w:rsidRPr="00141D1C">
        <w:rPr>
          <w:rFonts w:asciiTheme="minorEastAsia" w:hAnsiTheme="minorEastAsia" w:cs="Arial" w:hint="eastAsia"/>
          <w:szCs w:val="21"/>
        </w:rPr>
        <w:t>原则，在作出投资决策后，基金运营状况与基金净值变化引致的投资风险，由投资者自行承担。</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本招募说明书所载内容截止日为2018年</w:t>
      </w:r>
      <w:r w:rsidRPr="00141D1C">
        <w:rPr>
          <w:rFonts w:asciiTheme="minorEastAsia" w:hAnsiTheme="minorEastAsia" w:cs="Arial"/>
          <w:szCs w:val="21"/>
        </w:rPr>
        <w:t>8</w:t>
      </w:r>
      <w:r w:rsidRPr="00141D1C">
        <w:rPr>
          <w:rFonts w:asciiTheme="minorEastAsia" w:hAnsiTheme="minorEastAsia" w:cs="Arial" w:hint="eastAsia"/>
          <w:szCs w:val="21"/>
        </w:rPr>
        <w:t>月</w:t>
      </w:r>
      <w:r w:rsidRPr="00141D1C">
        <w:rPr>
          <w:rFonts w:asciiTheme="minorEastAsia" w:hAnsiTheme="minorEastAsia" w:cs="Arial"/>
          <w:szCs w:val="21"/>
        </w:rPr>
        <w:t>1</w:t>
      </w:r>
      <w:r w:rsidRPr="00141D1C">
        <w:rPr>
          <w:rFonts w:asciiTheme="minorEastAsia" w:hAnsiTheme="minorEastAsia" w:cs="Arial" w:hint="eastAsia"/>
          <w:szCs w:val="21"/>
        </w:rPr>
        <w:t>1日，有关财务数据截止日为2018年6月30日，净值表现截止日为201</w:t>
      </w:r>
      <w:r w:rsidRPr="00141D1C">
        <w:rPr>
          <w:rFonts w:asciiTheme="minorEastAsia" w:hAnsiTheme="minorEastAsia" w:cs="Arial"/>
          <w:szCs w:val="21"/>
        </w:rPr>
        <w:t>8</w:t>
      </w:r>
      <w:r w:rsidRPr="00141D1C">
        <w:rPr>
          <w:rFonts w:asciiTheme="minorEastAsia" w:hAnsiTheme="minorEastAsia" w:cs="Arial" w:hint="eastAsia"/>
          <w:szCs w:val="21"/>
        </w:rPr>
        <w:t>年6月30日，本报告中所列财务数据未经审计。</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本基金托管人中国光大银行股份有限公司已于2018年</w:t>
      </w:r>
      <w:r w:rsidR="00436A29">
        <w:rPr>
          <w:rFonts w:asciiTheme="minorEastAsia" w:hAnsiTheme="minorEastAsia" w:cs="Arial" w:hint="eastAsia"/>
          <w:szCs w:val="21"/>
        </w:rPr>
        <w:t>8</w:t>
      </w:r>
      <w:r w:rsidRPr="00141D1C">
        <w:rPr>
          <w:rFonts w:asciiTheme="minorEastAsia" w:hAnsiTheme="minorEastAsia" w:cs="Arial" w:hint="eastAsia"/>
          <w:szCs w:val="21"/>
        </w:rPr>
        <w:t>月</w:t>
      </w:r>
      <w:r w:rsidR="00436A29">
        <w:rPr>
          <w:rFonts w:asciiTheme="minorEastAsia" w:hAnsiTheme="minorEastAsia" w:cs="Arial" w:hint="eastAsia"/>
          <w:szCs w:val="21"/>
        </w:rPr>
        <w:t>28</w:t>
      </w:r>
      <w:r w:rsidRPr="00141D1C">
        <w:rPr>
          <w:rFonts w:asciiTheme="minorEastAsia" w:hAnsiTheme="minorEastAsia" w:cs="Arial" w:hint="eastAsia"/>
          <w:szCs w:val="21"/>
        </w:rPr>
        <w:t>日复核了本次更新的招募说明书。</w:t>
      </w:r>
    </w:p>
    <w:bookmarkEnd w:id="1"/>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本摘要根据基金合同和基金招募说明书编写，并经中国证监会核准。基金合同是约定基金当事人之间权利、义务的法律文件。基金投资人自依基金合同取得基金份额，即成为基金</w:t>
      </w:r>
      <w:r w:rsidRPr="007C0F74">
        <w:rPr>
          <w:rFonts w:ascii="宋体" w:hAnsi="宋体" w:hint="eastAsia"/>
          <w:szCs w:val="21"/>
        </w:rPr>
        <w:lastRenderedPageBreak/>
        <w:t>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rsidP="00A870EE">
      <w:pPr>
        <w:pStyle w:val="1"/>
        <w:pageBreakBefore/>
        <w:spacing w:beforeLines="50" w:before="156" w:afterLines="50" w:after="156"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rsidR="00141D1C" w:rsidRPr="00141D1C" w:rsidRDefault="00141D1C" w:rsidP="00141D1C">
      <w:pPr>
        <w:spacing w:line="360" w:lineRule="auto"/>
        <w:ind w:firstLineChars="200" w:firstLine="422"/>
        <w:rPr>
          <w:rFonts w:ascii="宋体" w:hAnsi="宋体"/>
          <w:b/>
          <w:kern w:val="0"/>
          <w:szCs w:val="21"/>
        </w:rPr>
      </w:pPr>
      <w:bookmarkStart w:id="6" w:name="_Toc88969216"/>
      <w:r w:rsidRPr="00141D1C">
        <w:rPr>
          <w:rFonts w:ascii="宋体" w:hAnsi="宋体" w:hint="eastAsia"/>
          <w:b/>
          <w:kern w:val="0"/>
          <w:szCs w:val="21"/>
        </w:rPr>
        <w:t>一、基金管理人概况</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名称：富荣基金管理有限公司</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住所：广州市南沙区海滨路171号南沙金融大厦11楼1101之一J20室</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办公地址：深圳市福田区深南大道2012号深圳证券交易所广场3501室</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法定代表人：刘志军</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成立时间：2016年1月25日</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注册资本：2亿元人民币</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存续期间：持续经营</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联系人：毛志华</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联系电话：（0755）</w:t>
      </w:r>
      <w:r w:rsidRPr="00141D1C">
        <w:rPr>
          <w:rFonts w:ascii="宋体" w:hAnsi="宋体"/>
          <w:kern w:val="0"/>
          <w:szCs w:val="21"/>
        </w:rPr>
        <w:t>8435</w:t>
      </w:r>
      <w:r w:rsidRPr="00141D1C">
        <w:rPr>
          <w:rFonts w:ascii="宋体" w:hAnsi="宋体" w:hint="eastAsia"/>
          <w:kern w:val="0"/>
          <w:szCs w:val="21"/>
        </w:rPr>
        <w:t xml:space="preserve"> </w:t>
      </w:r>
      <w:r w:rsidRPr="00141D1C">
        <w:rPr>
          <w:rFonts w:ascii="宋体" w:hAnsi="宋体"/>
          <w:kern w:val="0"/>
          <w:szCs w:val="21"/>
        </w:rPr>
        <w:t>663</w:t>
      </w:r>
      <w:r w:rsidRPr="00141D1C">
        <w:rPr>
          <w:rFonts w:ascii="宋体" w:hAnsi="宋体" w:hint="eastAsia"/>
          <w:kern w:val="0"/>
          <w:szCs w:val="21"/>
        </w:rPr>
        <w:t>6</w:t>
      </w:r>
    </w:p>
    <w:p w:rsidR="00141D1C" w:rsidRPr="00141D1C" w:rsidRDefault="00141D1C" w:rsidP="00141D1C">
      <w:pPr>
        <w:spacing w:line="360" w:lineRule="auto"/>
        <w:ind w:firstLineChars="200" w:firstLine="420"/>
        <w:rPr>
          <w:rFonts w:ascii="宋体" w:hAnsi="宋体" w:cs="Arial"/>
          <w:kern w:val="0"/>
          <w:szCs w:val="21"/>
        </w:rPr>
      </w:pPr>
      <w:r w:rsidRPr="00141D1C">
        <w:rPr>
          <w:rFonts w:ascii="宋体" w:hAnsi="宋体"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出资比例</w:t>
            </w:r>
          </w:p>
        </w:tc>
      </w:tr>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50%</w:t>
            </w:r>
          </w:p>
        </w:tc>
      </w:tr>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45.1%</w:t>
            </w:r>
          </w:p>
        </w:tc>
      </w:tr>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4.9%</w:t>
            </w:r>
          </w:p>
        </w:tc>
      </w:tr>
    </w:tbl>
    <w:p w:rsidR="00141D1C" w:rsidRPr="00141D1C" w:rsidRDefault="00141D1C" w:rsidP="00141D1C">
      <w:pPr>
        <w:adjustRightInd w:val="0"/>
        <w:snapToGrid w:val="0"/>
        <w:spacing w:line="360" w:lineRule="auto"/>
        <w:ind w:firstLineChars="200" w:firstLine="420"/>
        <w:rPr>
          <w:rFonts w:ascii="宋体" w:hAnsi="宋体" w:cs="Arial"/>
          <w:kern w:val="0"/>
          <w:szCs w:val="21"/>
        </w:rPr>
      </w:pPr>
    </w:p>
    <w:p w:rsidR="00141D1C" w:rsidRPr="00141D1C" w:rsidRDefault="00141D1C" w:rsidP="00141D1C">
      <w:pPr>
        <w:spacing w:line="360" w:lineRule="auto"/>
        <w:ind w:firstLineChars="200" w:firstLine="422"/>
        <w:rPr>
          <w:rFonts w:ascii="宋体" w:hAnsi="宋体"/>
          <w:b/>
          <w:kern w:val="0"/>
          <w:szCs w:val="21"/>
        </w:rPr>
      </w:pPr>
      <w:r w:rsidRPr="00141D1C">
        <w:rPr>
          <w:rFonts w:ascii="宋体" w:hAnsi="宋体" w:hint="eastAsia"/>
          <w:b/>
          <w:kern w:val="0"/>
          <w:szCs w:val="21"/>
        </w:rPr>
        <w:t>二、主要成员情况</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1、董事会成员</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刘志军先生，董事长。中国科学院博士，现任广州产业投资基金管理有限公司副总经理、广州科技金融创新投资控股有限公司董事长、富荣基金管理有限公司董事长。</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lastRenderedPageBreak/>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林斌先生，独立董事，厦门大学经济学博士。现任中山大学管理学院会计学系教授、富荣基金管理有限公司独立董事。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2、监事会成员</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基金管理人不设监事会，设监事两名，其中一名为职工监事。</w:t>
      </w:r>
    </w:p>
    <w:p w:rsidR="00141D1C" w:rsidRPr="00141D1C" w:rsidRDefault="00141D1C" w:rsidP="00141D1C">
      <w:pPr>
        <w:spacing w:line="360" w:lineRule="auto"/>
        <w:ind w:firstLineChars="200" w:firstLine="420"/>
        <w:rPr>
          <w:rFonts w:ascii="宋体" w:hAnsi="宋体" w:cs="Arial"/>
          <w:kern w:val="0"/>
          <w:szCs w:val="21"/>
        </w:rPr>
      </w:pPr>
      <w:r w:rsidRPr="00141D1C">
        <w:rPr>
          <w:rFonts w:ascii="宋体" w:hAnsi="宋体" w:cs="Arial" w:hint="eastAsia"/>
          <w:kern w:val="0"/>
          <w:szCs w:val="21"/>
        </w:rPr>
        <w:t>卢伟女士，监事，大专。在盈投控股有限公司任职，现任富荣基金管理有限公司监事。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毛志华先生，职工监事，本科。现任富荣基金管理有限公司监事。</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3、高级管理人员</w:t>
      </w:r>
    </w:p>
    <w:p w:rsidR="00141D1C" w:rsidRPr="00141D1C" w:rsidRDefault="00141D1C"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141D1C">
        <w:rPr>
          <w:rFonts w:ascii="宋体" w:hAnsi="宋体" w:cs="Arial" w:hint="eastAsia"/>
          <w:kern w:val="0"/>
          <w:szCs w:val="21"/>
        </w:rPr>
        <w:t>刘志军先生，董事长。中国科学院博士，现任广州产业投资基金管理有限公司副总经理、广州科技金融创新投资控股有限公司董事长、富荣基金管理有限公司董事长。</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141D1C" w:rsidRDefault="00141D1C"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141D1C">
        <w:rPr>
          <w:rFonts w:ascii="宋体" w:hAnsi="宋体" w:cs="宋体" w:hint="eastAsia"/>
          <w:color w:val="000000"/>
          <w:kern w:val="0"/>
          <w:szCs w:val="21"/>
        </w:rPr>
        <w:t>胡长虹，副总经理，</w:t>
      </w:r>
      <w:r w:rsidRPr="00141D1C">
        <w:rPr>
          <w:rFonts w:ascii="宋体" w:hAnsi="宋体" w:cs="Arial" w:hint="eastAsia"/>
          <w:kern w:val="0"/>
          <w:szCs w:val="21"/>
        </w:rPr>
        <w:t>北京工商大学经济学学士，北大光华管理学院</w:t>
      </w:r>
      <w:r w:rsidRPr="00141D1C">
        <w:rPr>
          <w:rFonts w:ascii="宋体" w:hAnsi="宋体" w:cs="Arial"/>
          <w:kern w:val="0"/>
          <w:szCs w:val="21"/>
        </w:rPr>
        <w:t>MBA</w:t>
      </w:r>
      <w:r w:rsidRPr="00141D1C">
        <w:rPr>
          <w:rFonts w:ascii="宋体" w:hAnsi="宋体" w:cs="Arial" w:hint="eastAsia"/>
          <w:kern w:val="0"/>
          <w:szCs w:val="21"/>
        </w:rPr>
        <w:t>，曾任湖北省粮食局财务副科长、中国远东国际贸易公司财务经理、深圳市飞亚达（集团）股份有限公司</w:t>
      </w:r>
      <w:proofErr w:type="gramStart"/>
      <w:r w:rsidRPr="00141D1C">
        <w:rPr>
          <w:rFonts w:ascii="宋体" w:hAnsi="宋体" w:cs="Arial" w:hint="eastAsia"/>
          <w:kern w:val="0"/>
          <w:szCs w:val="21"/>
        </w:rPr>
        <w:t>亨</w:t>
      </w:r>
      <w:proofErr w:type="gramEnd"/>
      <w:r w:rsidRPr="00141D1C">
        <w:rPr>
          <w:rFonts w:ascii="宋体" w:hAnsi="宋体" w:cs="Arial" w:hint="eastAsia"/>
          <w:kern w:val="0"/>
          <w:szCs w:val="21"/>
        </w:rPr>
        <w:t>吉利公司财务经理、深圳市北大高科技股份有限公司副总经理、太平财产保险有限公司投资管理部总经理，现任富荣基金管理有限公司副总经理。</w:t>
      </w:r>
    </w:p>
    <w:p w:rsidR="003014AF" w:rsidRPr="003014AF" w:rsidRDefault="003014AF" w:rsidP="003014AF">
      <w:pPr>
        <w:tabs>
          <w:tab w:val="left" w:pos="3780"/>
        </w:tabs>
        <w:autoSpaceDE w:val="0"/>
        <w:autoSpaceDN w:val="0"/>
        <w:adjustRightInd w:val="0"/>
        <w:snapToGrid w:val="0"/>
        <w:spacing w:line="360" w:lineRule="auto"/>
        <w:ind w:firstLineChars="200" w:firstLine="420"/>
        <w:textAlignment w:val="bottom"/>
        <w:rPr>
          <w:rFonts w:ascii="宋体" w:hAnsi="宋体" w:cs="宋体"/>
          <w:color w:val="000000"/>
          <w:kern w:val="0"/>
          <w:szCs w:val="21"/>
        </w:rPr>
      </w:pPr>
      <w:r w:rsidRPr="003014AF">
        <w:rPr>
          <w:rFonts w:ascii="宋体" w:hAnsi="宋体" w:cs="宋体" w:hint="eastAsia"/>
          <w:color w:val="000000"/>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3014AF">
        <w:rPr>
          <w:rFonts w:ascii="宋体" w:hAnsi="宋体" w:cs="宋体" w:hint="eastAsia"/>
          <w:color w:val="000000"/>
          <w:kern w:val="0"/>
          <w:szCs w:val="21"/>
        </w:rPr>
        <w:t>线业务</w:t>
      </w:r>
      <w:proofErr w:type="gramEnd"/>
      <w:r w:rsidRPr="003014AF">
        <w:rPr>
          <w:rFonts w:ascii="宋体" w:hAnsi="宋体" w:cs="宋体" w:hint="eastAsia"/>
          <w:color w:val="000000"/>
          <w:kern w:val="0"/>
          <w:szCs w:val="21"/>
        </w:rPr>
        <w:t>总监、总行副行长，现任富荣基金管理有限公司副总经理、首席投资官。</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滕大江先生，督察长，中南大学工学学士，先后供职于平安证券、</w:t>
      </w:r>
      <w:proofErr w:type="gramStart"/>
      <w:r w:rsidRPr="00141D1C">
        <w:rPr>
          <w:rFonts w:ascii="宋体" w:hAnsi="宋体" w:cs="Arial" w:hint="eastAsia"/>
          <w:kern w:val="0"/>
          <w:szCs w:val="21"/>
        </w:rPr>
        <w:t>平安大</w:t>
      </w:r>
      <w:proofErr w:type="gramEnd"/>
      <w:r w:rsidRPr="00141D1C">
        <w:rPr>
          <w:rFonts w:ascii="宋体" w:hAnsi="宋体" w:cs="Arial" w:hint="eastAsia"/>
          <w:kern w:val="0"/>
          <w:szCs w:val="21"/>
        </w:rPr>
        <w:t>华基金管理有限公司、前海开源基金管理有限公司</w:t>
      </w:r>
      <w:r w:rsidRPr="00141D1C">
        <w:rPr>
          <w:rFonts w:ascii="宋体" w:hAnsi="宋体" w:cs="Arial"/>
          <w:kern w:val="0"/>
          <w:szCs w:val="21"/>
        </w:rPr>
        <w:t>监察稽核</w:t>
      </w:r>
      <w:r w:rsidRPr="00141D1C">
        <w:rPr>
          <w:rFonts w:ascii="宋体" w:hAnsi="宋体" w:cs="Arial" w:hint="eastAsia"/>
          <w:kern w:val="0"/>
          <w:szCs w:val="21"/>
        </w:rPr>
        <w:t>部门。现任富荣基金管理有限公司督察长。</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4、本基金基金经理</w:t>
      </w:r>
    </w:p>
    <w:p w:rsidR="00141D1C" w:rsidRPr="00141D1C" w:rsidRDefault="00141D1C"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141D1C">
        <w:rPr>
          <w:rFonts w:ascii="宋体" w:hAnsi="宋体" w:cs="宋体" w:hint="eastAsia"/>
          <w:color w:val="000000"/>
          <w:kern w:val="0"/>
          <w:szCs w:val="21"/>
        </w:rPr>
        <w:t>胡长虹，副总经理，</w:t>
      </w:r>
      <w:r w:rsidRPr="00141D1C">
        <w:rPr>
          <w:rFonts w:ascii="宋体" w:hAnsi="宋体" w:cs="Arial" w:hint="eastAsia"/>
          <w:kern w:val="0"/>
          <w:szCs w:val="21"/>
        </w:rPr>
        <w:t>北京工商大学经济学学士，北大光华管理学院</w:t>
      </w:r>
      <w:r w:rsidRPr="00141D1C">
        <w:rPr>
          <w:rFonts w:ascii="宋体" w:hAnsi="宋体" w:cs="Arial"/>
          <w:kern w:val="0"/>
          <w:szCs w:val="21"/>
        </w:rPr>
        <w:t>MBA，曾任湖北省粮食局财务副科长、中国远东国际贸易公司财务经理、深圳市飞亚达（集团）股份有限公司</w:t>
      </w:r>
      <w:r w:rsidRPr="00141D1C">
        <w:rPr>
          <w:rFonts w:ascii="宋体" w:hAnsi="宋体" w:cs="Arial" w:hint="eastAsia"/>
          <w:kern w:val="0"/>
          <w:szCs w:val="21"/>
        </w:rPr>
        <w:t>亨吉利公司财务经理、深圳市北大高科技股份有限公司副总经理、太平财产保险有限公司投资</w:t>
      </w:r>
      <w:r w:rsidRPr="00141D1C">
        <w:rPr>
          <w:rFonts w:ascii="宋体" w:hAnsi="宋体" w:cs="Arial" w:hint="eastAsia"/>
          <w:kern w:val="0"/>
          <w:szCs w:val="21"/>
        </w:rPr>
        <w:lastRenderedPageBreak/>
        <w:t>管理部总经理，现任富荣基金管理有限公司副总经理。</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5、投资决策委员会成员的姓名、职务</w:t>
      </w:r>
    </w:p>
    <w:p w:rsidR="003014AF" w:rsidRPr="003014AF" w:rsidRDefault="003014AF" w:rsidP="003014AF">
      <w:pPr>
        <w:adjustRightInd w:val="0"/>
        <w:snapToGrid w:val="0"/>
        <w:spacing w:line="360" w:lineRule="auto"/>
        <w:ind w:firstLineChars="200" w:firstLine="420"/>
        <w:rPr>
          <w:rFonts w:ascii="宋体" w:hAnsi="宋体" w:cs="宋体"/>
          <w:color w:val="000000"/>
          <w:kern w:val="0"/>
          <w:szCs w:val="21"/>
        </w:rPr>
      </w:pPr>
      <w:r w:rsidRPr="003014AF">
        <w:rPr>
          <w:rFonts w:ascii="宋体" w:hAnsi="宋体" w:cs="宋体" w:hint="eastAsia"/>
          <w:color w:val="000000"/>
          <w:kern w:val="0"/>
          <w:szCs w:val="21"/>
        </w:rPr>
        <w:t xml:space="preserve">苏春华，投资决策委员会主任委员、副总经理、首席投资官 </w:t>
      </w:r>
    </w:p>
    <w:p w:rsidR="003014AF" w:rsidRPr="003014AF" w:rsidRDefault="003014AF" w:rsidP="003014AF">
      <w:pPr>
        <w:adjustRightInd w:val="0"/>
        <w:snapToGrid w:val="0"/>
        <w:spacing w:line="360" w:lineRule="auto"/>
        <w:ind w:firstLineChars="200" w:firstLine="420"/>
        <w:rPr>
          <w:rFonts w:ascii="宋体" w:hAnsi="宋体" w:cs="宋体"/>
          <w:color w:val="000000"/>
          <w:kern w:val="0"/>
          <w:szCs w:val="21"/>
        </w:rPr>
      </w:pPr>
      <w:r w:rsidRPr="003014AF">
        <w:rPr>
          <w:rFonts w:ascii="宋体" w:hAnsi="宋体" w:cs="宋体" w:hint="eastAsia"/>
          <w:color w:val="000000"/>
          <w:kern w:val="0"/>
          <w:szCs w:val="21"/>
        </w:rPr>
        <w:t>胡长虹，投资决策委员会委员、副总经理、基金经理</w:t>
      </w:r>
    </w:p>
    <w:p w:rsidR="003014AF" w:rsidRPr="003014AF" w:rsidRDefault="003014AF" w:rsidP="003014AF">
      <w:pPr>
        <w:adjustRightInd w:val="0"/>
        <w:snapToGrid w:val="0"/>
        <w:spacing w:line="360" w:lineRule="auto"/>
        <w:ind w:firstLineChars="200" w:firstLine="420"/>
        <w:rPr>
          <w:rFonts w:ascii="宋体" w:hAnsi="宋体" w:cs="宋体"/>
          <w:color w:val="000000"/>
          <w:kern w:val="0"/>
          <w:szCs w:val="21"/>
        </w:rPr>
      </w:pPr>
      <w:r w:rsidRPr="003014AF">
        <w:rPr>
          <w:rFonts w:ascii="宋体" w:hAnsi="宋体" w:cs="宋体" w:hint="eastAsia"/>
          <w:color w:val="000000"/>
          <w:kern w:val="0"/>
          <w:szCs w:val="21"/>
        </w:rPr>
        <w:t>吕晓蓉，投资决策委员会委员、基金经理</w:t>
      </w:r>
    </w:p>
    <w:p w:rsidR="003014AF" w:rsidRPr="003014AF" w:rsidRDefault="003014AF" w:rsidP="003014AF">
      <w:pPr>
        <w:adjustRightInd w:val="0"/>
        <w:snapToGrid w:val="0"/>
        <w:spacing w:line="360" w:lineRule="auto"/>
        <w:ind w:firstLineChars="200" w:firstLine="420"/>
        <w:rPr>
          <w:rFonts w:ascii="宋体" w:hAnsi="宋体" w:cs="宋体"/>
          <w:color w:val="000000"/>
          <w:kern w:val="0"/>
          <w:szCs w:val="21"/>
        </w:rPr>
      </w:pPr>
      <w:r w:rsidRPr="003014AF">
        <w:rPr>
          <w:rFonts w:ascii="宋体" w:hAnsi="宋体" w:cs="宋体" w:hint="eastAsia"/>
          <w:color w:val="000000"/>
          <w:kern w:val="0"/>
          <w:szCs w:val="21"/>
        </w:rPr>
        <w:t>邓宇翔，投资决策委员会委员、权益投资部总监、研究部总监、基金经理</w:t>
      </w:r>
    </w:p>
    <w:p w:rsidR="00141D1C" w:rsidRPr="00141D1C" w:rsidRDefault="003014AF" w:rsidP="003014AF">
      <w:pPr>
        <w:adjustRightInd w:val="0"/>
        <w:snapToGrid w:val="0"/>
        <w:spacing w:line="360" w:lineRule="auto"/>
        <w:ind w:firstLineChars="200" w:firstLine="420"/>
        <w:rPr>
          <w:rFonts w:ascii="宋体" w:hAnsi="宋体" w:cs="Arial"/>
          <w:kern w:val="0"/>
          <w:szCs w:val="21"/>
        </w:rPr>
      </w:pPr>
      <w:r w:rsidRPr="003014AF">
        <w:rPr>
          <w:rFonts w:ascii="宋体" w:hAnsi="宋体" w:cs="宋体" w:hint="eastAsia"/>
          <w:color w:val="000000"/>
          <w:kern w:val="0"/>
          <w:szCs w:val="21"/>
        </w:rPr>
        <w:t>王刚建，投资决策委员会委员、固定收益部总监</w:t>
      </w:r>
    </w:p>
    <w:p w:rsidR="00141D1C" w:rsidRPr="00141D1C" w:rsidRDefault="00141D1C" w:rsidP="00141D1C">
      <w:pPr>
        <w:adjustRightInd w:val="0"/>
        <w:snapToGrid w:val="0"/>
        <w:spacing w:line="360" w:lineRule="auto"/>
        <w:ind w:firstLineChars="200" w:firstLine="420"/>
        <w:rPr>
          <w:rFonts w:ascii="宋体" w:hAnsi="宋体" w:cs="Arial"/>
          <w:szCs w:val="21"/>
        </w:rPr>
      </w:pPr>
      <w:r w:rsidRPr="00141D1C">
        <w:rPr>
          <w:rFonts w:ascii="宋体" w:hAnsi="宋体" w:cs="Arial" w:hint="eastAsia"/>
          <w:kern w:val="0"/>
          <w:szCs w:val="21"/>
        </w:rPr>
        <w:t>6、上述人员之间不存在近亲属关系。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Pr="003014AF"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2071AC" w:rsidRPr="00733143" w:rsidRDefault="002071A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rsidP="00A870EE">
      <w:pPr>
        <w:pStyle w:val="1"/>
        <w:spacing w:beforeLines="50" w:before="156" w:afterLines="50" w:after="156"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lastRenderedPageBreak/>
        <w:t>二、基金托管人</w:t>
      </w:r>
      <w:bookmarkEnd w:id="7"/>
      <w:bookmarkEnd w:id="8"/>
    </w:p>
    <w:p w:rsidR="00141D1C" w:rsidRPr="00516CBA" w:rsidRDefault="00141D1C" w:rsidP="00516CBA">
      <w:pPr>
        <w:spacing w:line="360" w:lineRule="auto"/>
        <w:ind w:firstLineChars="200" w:firstLine="422"/>
        <w:rPr>
          <w:rFonts w:asciiTheme="minorEastAsia" w:hAnsiTheme="minorEastAsia" w:cs="Arial"/>
          <w:b/>
          <w:bCs/>
          <w:szCs w:val="21"/>
        </w:rPr>
      </w:pPr>
      <w:bookmarkStart w:id="9" w:name="_Toc256666786"/>
      <w:bookmarkStart w:id="10" w:name="_Toc256666914"/>
      <w:bookmarkStart w:id="11" w:name="_Toc6210"/>
      <w:bookmarkStart w:id="12" w:name="_Toc482624793"/>
      <w:r w:rsidRPr="00516CBA">
        <w:rPr>
          <w:rFonts w:asciiTheme="minorEastAsia" w:hAnsiTheme="minorEastAsia" w:cs="Arial" w:hint="eastAsia"/>
          <w:b/>
          <w:bCs/>
          <w:szCs w:val="21"/>
        </w:rPr>
        <w:t>一、基本情况</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名称：中国光大银行股份有限公司</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住所及办公地址：北京市西城区太平桥大街25 号、甲25 号中国光大中心</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成立日期：1992年6月18日</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批准设立机关和批准设立文号：国务院、国函[1992]7号</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组织形式：股份有限公司</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注册资本：466.79095亿元人民币</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法定代表人：</w:t>
      </w:r>
      <w:r w:rsidRPr="00516CBA">
        <w:rPr>
          <w:rFonts w:ascii="宋体" w:hAnsi="宋体" w:cstheme="minorBidi" w:hint="eastAsia"/>
          <w:color w:val="000000"/>
          <w:kern w:val="0"/>
          <w:szCs w:val="21"/>
        </w:rPr>
        <w:t>李晓鹏</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基金托管业务批准文号：中国证监会证监基字【2002】75号</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投资与托管部总经理：</w:t>
      </w:r>
      <w:r w:rsidRPr="00516CBA">
        <w:rPr>
          <w:rFonts w:ascii="宋体" w:hAnsi="宋体" w:cstheme="minorBidi" w:hint="eastAsia"/>
          <w:color w:val="000000"/>
          <w:kern w:val="0"/>
          <w:szCs w:val="21"/>
        </w:rPr>
        <w:t>张博</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电话：（010） 63636363</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传真：（010） 63639132</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网址：www.cebbank.com</w:t>
      </w:r>
    </w:p>
    <w:p w:rsidR="00141D1C" w:rsidRPr="00516CBA" w:rsidRDefault="00141D1C" w:rsidP="00516CBA">
      <w:pPr>
        <w:spacing w:line="360" w:lineRule="auto"/>
        <w:ind w:firstLineChars="200" w:firstLine="422"/>
        <w:rPr>
          <w:rFonts w:asciiTheme="minorEastAsia" w:hAnsiTheme="minorEastAsia" w:cs="Arial"/>
          <w:b/>
          <w:bCs/>
          <w:szCs w:val="21"/>
        </w:rPr>
      </w:pPr>
      <w:r w:rsidRPr="00516CBA">
        <w:rPr>
          <w:rFonts w:asciiTheme="minorEastAsia" w:hAnsiTheme="minorEastAsia" w:cs="Arial" w:hint="eastAsia"/>
          <w:b/>
          <w:bCs/>
          <w:szCs w:val="21"/>
        </w:rPr>
        <w:t>二、</w:t>
      </w:r>
      <w:r w:rsidRPr="00516CBA">
        <w:rPr>
          <w:rFonts w:ascii="宋体" w:hAnsi="宋体" w:cstheme="minorBidi" w:hint="eastAsia"/>
          <w:b/>
          <w:color w:val="000000"/>
          <w:kern w:val="0"/>
          <w:szCs w:val="21"/>
        </w:rPr>
        <w:t>投资与托管业务部部门及主要人员情况</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法定代表人李晓鹏先生曾任中国工商银行河南省分行党组成员、副行长，中国工商银行总行营业部总经理，中国工商银行四川省分行党委书记、行长，中国华融资</w:t>
      </w:r>
      <w:r w:rsidRPr="00516CBA">
        <w:rPr>
          <w:rFonts w:ascii="宋体" w:hAnsi="宋体" w:cstheme="minorBidi" w:hint="eastAsia"/>
          <w:color w:val="000000"/>
          <w:kern w:val="0"/>
          <w:szCs w:val="21"/>
        </w:rPr>
        <w:t>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r w:rsidRPr="00516CBA">
        <w:rPr>
          <w:rFonts w:ascii="宋体" w:hAnsi="宋体" w:hint="eastAsia"/>
          <w:color w:val="000000"/>
          <w:kern w:val="0"/>
          <w:szCs w:val="21"/>
        </w:rPr>
        <w:t>行长张金良先生，曾任中国银行财会部会计制度处副处长、处长、副总经理兼任IT蓝图实施办公室主任、总经理，中国银行北京市分行行长、党委书记，中国银行副行长、党委委员。现任中国光大集团股份</w:t>
      </w:r>
      <w:r w:rsidRPr="00516CBA">
        <w:rPr>
          <w:rFonts w:ascii="宋体" w:hAnsi="宋体" w:hint="eastAsia"/>
          <w:color w:val="000000"/>
          <w:kern w:val="0"/>
          <w:szCs w:val="21"/>
        </w:rPr>
        <w:lastRenderedPageBreak/>
        <w:t>公司执行董事、党委委员，兼任中国光大银行执行董事、行长、党委副书记。</w:t>
      </w:r>
    </w:p>
    <w:p w:rsidR="00141D1C" w:rsidRPr="00516CBA" w:rsidRDefault="00141D1C" w:rsidP="00141D1C">
      <w:pPr>
        <w:spacing w:line="360" w:lineRule="auto"/>
        <w:ind w:firstLine="420"/>
        <w:rPr>
          <w:rFonts w:ascii="宋体" w:hAnsi="宋体" w:cs="宋体"/>
          <w:szCs w:val="21"/>
          <w:lang w:val="zh-CN"/>
        </w:rPr>
      </w:pPr>
      <w:r w:rsidRPr="00516CBA">
        <w:rPr>
          <w:rFonts w:ascii="宋体" w:hAnsi="宋体" w:cs="宋体" w:hint="eastAsia"/>
          <w:szCs w:val="21"/>
          <w:lang w:val="zh-CN"/>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rsidR="00141D1C" w:rsidRPr="00516CBA" w:rsidRDefault="00141D1C" w:rsidP="00141D1C">
      <w:pPr>
        <w:spacing w:line="360" w:lineRule="auto"/>
        <w:ind w:firstLine="420"/>
        <w:rPr>
          <w:rFonts w:ascii="宋体" w:hAnsi="宋体" w:cs="宋体"/>
          <w:b/>
          <w:bCs/>
          <w:color w:val="000000"/>
          <w:szCs w:val="21"/>
        </w:rPr>
      </w:pPr>
      <w:r w:rsidRPr="00516CBA">
        <w:rPr>
          <w:rFonts w:asciiTheme="minorEastAsia" w:hAnsiTheme="minorEastAsia" w:cs="Arial" w:hint="eastAsia"/>
          <w:b/>
          <w:bCs/>
          <w:szCs w:val="21"/>
        </w:rPr>
        <w:t>三、</w:t>
      </w:r>
      <w:r w:rsidRPr="00516CBA">
        <w:rPr>
          <w:rFonts w:ascii="宋体" w:hAnsi="宋体" w:cs="宋体" w:hint="eastAsia"/>
          <w:b/>
          <w:bCs/>
          <w:color w:val="000000"/>
          <w:szCs w:val="21"/>
        </w:rPr>
        <w:t>证券投资基金托管情况</w:t>
      </w:r>
    </w:p>
    <w:p w:rsidR="00141D1C" w:rsidRPr="00516CBA" w:rsidRDefault="00141D1C" w:rsidP="00141D1C">
      <w:pPr>
        <w:spacing w:line="360" w:lineRule="auto"/>
        <w:ind w:firstLine="420"/>
        <w:rPr>
          <w:rFonts w:ascii="宋体" w:hAnsi="宋体" w:cs="宋体"/>
          <w:szCs w:val="21"/>
          <w:lang w:val="zh-CN"/>
        </w:rPr>
      </w:pPr>
      <w:r w:rsidRPr="00516CBA">
        <w:rPr>
          <w:rFonts w:ascii="宋体" w:hAnsi="宋体" w:cs="宋体" w:hint="eastAsia"/>
          <w:szCs w:val="21"/>
          <w:lang w:val="zh-CN"/>
        </w:rPr>
        <w:t>截至2018年</w:t>
      </w:r>
      <w:r w:rsidRPr="00516CBA">
        <w:rPr>
          <w:rFonts w:ascii="宋体" w:hAnsi="宋体" w:cs="宋体" w:hint="eastAsia"/>
          <w:szCs w:val="21"/>
        </w:rPr>
        <w:t>6</w:t>
      </w:r>
      <w:r w:rsidRPr="00516CBA">
        <w:rPr>
          <w:rFonts w:ascii="宋体" w:hAnsi="宋体" w:cs="宋体" w:hint="eastAsia"/>
          <w:szCs w:val="21"/>
          <w:lang w:val="zh-CN"/>
        </w:rPr>
        <w:t>月30日，中国光大银行股份有限公司托管华夏睿磐泰利六个月定期开放混合型证券投资基金、天弘尊享定期开放债券型发起式证券投资基金、汇安多策略灵活配置混合型证券投资基金</w:t>
      </w:r>
      <w:r w:rsidRPr="00516CBA">
        <w:rPr>
          <w:rFonts w:ascii="宋体" w:hAnsi="宋体" w:cs="Arial" w:hint="eastAsia"/>
          <w:kern w:val="0"/>
          <w:szCs w:val="21"/>
        </w:rPr>
        <w:t>等共103</w:t>
      </w:r>
      <w:r w:rsidRPr="00516CBA">
        <w:rPr>
          <w:rFonts w:ascii="宋体" w:hAnsi="宋体" w:cs="宋体" w:hint="eastAsia"/>
          <w:szCs w:val="21"/>
          <w:lang w:val="zh-CN"/>
        </w:rPr>
        <w:t>只证券投资基金，托管基金资产规模2777.81亿元。同时，开展了证券公司资产管理计划、专户理财、企业年金基金、</w:t>
      </w:r>
      <w:r w:rsidRPr="00516CBA">
        <w:rPr>
          <w:rFonts w:ascii="宋体" w:hAnsi="宋体" w:cs="宋体"/>
          <w:szCs w:val="21"/>
          <w:lang w:val="zh-CN"/>
        </w:rPr>
        <w:t>QDII、银行理财、保险债权投资计划等资产的托管及信托公司资金信托计划、产业投资基金、股权基金等产品的保管业务。</w:t>
      </w:r>
    </w:p>
    <w:p w:rsidR="00E61A92" w:rsidRPr="00141D1C" w:rsidRDefault="00E61A92" w:rsidP="00141D1C">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2071AC" w:rsidRPr="00440A13" w:rsidRDefault="002071AC" w:rsidP="002071AC">
      <w:pPr>
        <w:spacing w:line="360" w:lineRule="auto"/>
        <w:rPr>
          <w:rFonts w:asciiTheme="minorEastAsia" w:hAnsiTheme="minorEastAsia"/>
          <w:color w:val="000000"/>
          <w:sz w:val="24"/>
        </w:rPr>
      </w:pPr>
    </w:p>
    <w:p w:rsidR="0045798E" w:rsidRDefault="007026B8" w:rsidP="00A870EE">
      <w:pPr>
        <w:pStyle w:val="1"/>
        <w:spacing w:beforeLines="50" w:before="156" w:afterLines="50" w:after="156"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9"/>
      <w:bookmarkEnd w:id="10"/>
      <w:bookmarkEnd w:id="11"/>
      <w:bookmarkEnd w:id="12"/>
    </w:p>
    <w:p w:rsidR="00516CBA" w:rsidRPr="00516CBA" w:rsidRDefault="00516CBA" w:rsidP="00516CBA">
      <w:pPr>
        <w:tabs>
          <w:tab w:val="num" w:pos="540"/>
        </w:tabs>
        <w:adjustRightInd w:val="0"/>
        <w:snapToGrid w:val="0"/>
        <w:spacing w:line="360" w:lineRule="auto"/>
        <w:ind w:firstLineChars="200" w:firstLine="422"/>
        <w:rPr>
          <w:rFonts w:asciiTheme="minorEastAsia" w:hAnsiTheme="minorEastAsia" w:cs="Arial"/>
          <w:b/>
          <w:bCs/>
          <w:szCs w:val="21"/>
        </w:rPr>
      </w:pPr>
      <w:bookmarkStart w:id="13" w:name="_Toc88969234"/>
      <w:r w:rsidRPr="00516CBA">
        <w:rPr>
          <w:rFonts w:asciiTheme="minorEastAsia" w:hAnsiTheme="minorEastAsia" w:cs="Arial" w:hint="eastAsia"/>
          <w:b/>
          <w:bCs/>
          <w:szCs w:val="21"/>
        </w:rPr>
        <w:t>一、基金份额发售机构</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1、直销机构：富荣基金管理有限公司直销中心</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注册地址：广州市南沙区海滨路171号南沙金融大厦11楼1101之一J20室 </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办公地址：深圳市福田区深南大道2012号深圳证券交易所广场3501室</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法定代表人： 刘志军</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电话：0755-84356629</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传真：</w:t>
      </w:r>
      <w:r w:rsidRPr="00516CBA">
        <w:rPr>
          <w:rFonts w:asciiTheme="minorEastAsia" w:hAnsiTheme="minorEastAsia" w:cs="Arial"/>
          <w:szCs w:val="21"/>
        </w:rPr>
        <w:t>0755-83230902</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客服电话：4006855600</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网址：www.furamc.com.cn</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2、其他销售机构：</w:t>
      </w:r>
      <w:r w:rsidRPr="00516CBA" w:rsidDel="002E5FC9">
        <w:rPr>
          <w:rFonts w:asciiTheme="minorEastAsia" w:hAnsiTheme="minorEastAsia" w:cs="Arial" w:hint="eastAsia"/>
          <w:szCs w:val="21"/>
        </w:rPr>
        <w:t xml:space="preserve"> </w:t>
      </w:r>
    </w:p>
    <w:tbl>
      <w:tblPr>
        <w:tblStyle w:val="af4"/>
        <w:tblW w:w="0" w:type="auto"/>
        <w:tblLook w:val="04A0" w:firstRow="1" w:lastRow="0" w:firstColumn="1" w:lastColumn="0" w:noHBand="0" w:noVBand="1"/>
      </w:tblPr>
      <w:tblGrid>
        <w:gridCol w:w="817"/>
        <w:gridCol w:w="2552"/>
        <w:gridCol w:w="4723"/>
      </w:tblGrid>
      <w:tr w:rsidR="00516CBA" w:rsidRPr="00076FF5" w:rsidTr="00894408">
        <w:trPr>
          <w:trHeight w:val="164"/>
        </w:trPr>
        <w:tc>
          <w:tcPr>
            <w:tcW w:w="817" w:type="dxa"/>
            <w:tcBorders>
              <w:top w:val="single" w:sz="4" w:space="0" w:color="000000"/>
              <w:left w:val="single" w:sz="4" w:space="0" w:color="000000"/>
              <w:bottom w:val="single" w:sz="4" w:space="0" w:color="000000"/>
              <w:right w:val="single" w:sz="4" w:space="0" w:color="000000"/>
            </w:tcBorders>
            <w:vAlign w:val="center"/>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序号</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代销机构名称</w:t>
            </w:r>
          </w:p>
        </w:tc>
        <w:tc>
          <w:tcPr>
            <w:tcW w:w="4723"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代销机构信息</w:t>
            </w:r>
          </w:p>
        </w:tc>
      </w:tr>
      <w:tr w:rsidR="00516CBA" w:rsidRPr="00076FF5" w:rsidTr="00894408">
        <w:trPr>
          <w:trHeight w:val="682"/>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1</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中国光大银行股份有限公司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办公地址：北京市西城区太平桥大街</w:t>
            </w:r>
            <w:r w:rsidRPr="00516CBA">
              <w:rPr>
                <w:rFonts w:ascii="宋体" w:hAnsi="宋体" w:cs="Arial"/>
                <w:szCs w:val="21"/>
              </w:rPr>
              <w:t>25</w:t>
            </w:r>
            <w:r w:rsidRPr="00516CBA">
              <w:rPr>
                <w:rFonts w:ascii="宋体" w:hAnsi="宋体" w:cs="Arial" w:hint="eastAsia"/>
                <w:szCs w:val="21"/>
              </w:rPr>
              <w:t>号光大中心</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95595</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0" w:history="1">
              <w:r w:rsidRPr="00516CBA">
                <w:rPr>
                  <w:rFonts w:ascii="宋体" w:hAnsi="宋体" w:cs="Arial"/>
                  <w:szCs w:val="21"/>
                </w:rPr>
                <w:t>www.cebbank.com</w:t>
              </w:r>
            </w:hyperlink>
          </w:p>
        </w:tc>
      </w:tr>
      <w:tr w:rsidR="00516CBA" w:rsidRPr="00076FF5" w:rsidTr="00894408">
        <w:trPr>
          <w:trHeight w:val="226"/>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2</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包商银行股份有限公司</w:t>
            </w:r>
          </w:p>
        </w:tc>
        <w:tc>
          <w:tcPr>
            <w:tcW w:w="4723"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办公地址：内蒙古包头市钢铁大街6号</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 xml:space="preserve"> 95352</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1" w:history="1">
              <w:r w:rsidRPr="00516CBA">
                <w:rPr>
                  <w:rFonts w:ascii="宋体" w:hAnsi="宋体" w:cs="Arial"/>
                  <w:szCs w:val="21"/>
                </w:rPr>
                <w:t>www.bsb.com.cn</w:t>
              </w:r>
            </w:hyperlink>
          </w:p>
        </w:tc>
      </w:tr>
      <w:tr w:rsidR="00516CBA" w:rsidRPr="00076FF5" w:rsidTr="00894408">
        <w:trPr>
          <w:trHeight w:val="809"/>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3</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平安证券股份有限公司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 xml:space="preserve">办公地址：深圳市福田中心区金田路4036号荣超大厦16-20层 </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 xml:space="preserve">95511-8 </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r w:rsidRPr="00516CBA">
              <w:rPr>
                <w:rFonts w:ascii="宋体" w:hAnsi="宋体" w:cs="Arial"/>
                <w:szCs w:val="21"/>
              </w:rPr>
              <w:t>stock.pingan.com</w:t>
            </w:r>
          </w:p>
        </w:tc>
      </w:tr>
      <w:tr w:rsidR="00516CBA" w:rsidRPr="00076FF5" w:rsidTr="00894408">
        <w:trPr>
          <w:trHeight w:val="651"/>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4</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中信建投证券股份有限公司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办公地址：北京市朝阳区安立路66号4号楼</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 4008888108/95587</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公司网址：www.csc108.com</w:t>
            </w:r>
          </w:p>
        </w:tc>
      </w:tr>
      <w:tr w:rsidR="00516CBA" w:rsidRPr="00076FF5" w:rsidTr="00894408">
        <w:trPr>
          <w:trHeight w:val="645"/>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5</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安信证券股份有限公司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办公地址：深圳市福田区金田路4018号安联大厦35层、28层A02单元</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:4008001001</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r w:rsidRPr="00516CBA">
              <w:rPr>
                <w:rFonts w:ascii="宋体" w:hAnsi="宋体" w:cs="Arial"/>
                <w:szCs w:val="21"/>
              </w:rPr>
              <w:t>www.essence.com.cn</w:t>
            </w:r>
          </w:p>
        </w:tc>
      </w:tr>
      <w:tr w:rsidR="00516CBA" w:rsidRPr="00076FF5" w:rsidTr="00894408">
        <w:trPr>
          <w:trHeight w:val="58"/>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6</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世纪证券有限责任公司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办公地址：深圳市福田区深南大道招商银行大厦</w:t>
            </w:r>
            <w:r w:rsidRPr="00516CBA">
              <w:rPr>
                <w:rFonts w:ascii="宋体" w:hAnsi="宋体" w:cs="Arial"/>
                <w:szCs w:val="21"/>
              </w:rPr>
              <w:t>40-42</w:t>
            </w:r>
            <w:r w:rsidRPr="00516CBA">
              <w:rPr>
                <w:rFonts w:ascii="宋体" w:hAnsi="宋体" w:cs="Arial" w:hint="eastAsia"/>
                <w:szCs w:val="21"/>
              </w:rPr>
              <w:t>层</w:t>
            </w:r>
          </w:p>
          <w:p w:rsidR="00516CBA" w:rsidRPr="00516CBA" w:rsidRDefault="00516CBA" w:rsidP="00C708E4">
            <w:pPr>
              <w:spacing w:line="400" w:lineRule="exac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4008323000</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lastRenderedPageBreak/>
              <w:t>公司网址：</w:t>
            </w:r>
            <w:r w:rsidRPr="00516CBA" w:rsidDel="009A50FB">
              <w:rPr>
                <w:rFonts w:ascii="宋体" w:hAnsi="宋体" w:cs="Arial"/>
                <w:szCs w:val="21"/>
              </w:rPr>
              <w:t xml:space="preserve"> </w:t>
            </w:r>
            <w:r w:rsidRPr="00516CBA">
              <w:rPr>
                <w:rFonts w:ascii="宋体" w:hAnsi="宋体" w:cs="Arial"/>
                <w:szCs w:val="21"/>
              </w:rPr>
              <w:t>http://www.csco.com.cn</w:t>
            </w:r>
          </w:p>
        </w:tc>
      </w:tr>
      <w:tr w:rsidR="00516CBA" w:rsidRPr="00076FF5" w:rsidTr="00894408">
        <w:trPr>
          <w:trHeight w:val="58"/>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lastRenderedPageBreak/>
              <w:t>7</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大泰金石基金销售有限公司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办公地址：上海市长宁区虹桥路1386号文广大厦15楼</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客服电话：400-928-2266/021-22267995</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2" w:history="1">
              <w:r w:rsidRPr="00516CBA">
                <w:rPr>
                  <w:rFonts w:ascii="宋体" w:hAnsi="宋体" w:cs="Arial"/>
                  <w:szCs w:val="21"/>
                </w:rPr>
                <w:t>www.dtfunds.com</w:t>
              </w:r>
            </w:hyperlink>
          </w:p>
        </w:tc>
      </w:tr>
      <w:tr w:rsidR="00516CBA" w:rsidRPr="00076FF5" w:rsidTr="00894408">
        <w:trPr>
          <w:trHeight w:val="58"/>
        </w:trPr>
        <w:tc>
          <w:tcPr>
            <w:tcW w:w="817"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szCs w:val="21"/>
              </w:rPr>
              <w:t>8</w:t>
            </w:r>
          </w:p>
        </w:tc>
        <w:tc>
          <w:tcPr>
            <w:tcW w:w="2552" w:type="dxa"/>
            <w:tcBorders>
              <w:top w:val="single" w:sz="4" w:space="0" w:color="000000"/>
              <w:left w:val="single" w:sz="4" w:space="0" w:color="000000"/>
              <w:bottom w:val="single" w:sz="4" w:space="0" w:color="000000"/>
              <w:right w:val="single" w:sz="4" w:space="0" w:color="000000"/>
            </w:tcBorders>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上海基煜基金销售有限公司</w:t>
            </w:r>
          </w:p>
        </w:tc>
        <w:tc>
          <w:tcPr>
            <w:tcW w:w="4723" w:type="dxa"/>
            <w:tcBorders>
              <w:top w:val="single" w:sz="4" w:space="0" w:color="000000"/>
              <w:left w:val="single" w:sz="4" w:space="0" w:color="000000"/>
              <w:bottom w:val="single" w:sz="4" w:space="0" w:color="000000"/>
              <w:right w:val="single" w:sz="4" w:space="0" w:color="000000"/>
            </w:tcBorders>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办公地址：上海市杨浦区昆明路518号A1002室</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客服电话：4008205369</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公司网址：www.jiyufund.com.cn</w:t>
            </w:r>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9</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上海好买基金销售有限公司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办公地址：上海市浦东南路1118号鄂尔多斯国际大厦9楼</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客服电话：400700</w:t>
            </w:r>
            <w:r w:rsidRPr="00516CBA">
              <w:rPr>
                <w:rFonts w:ascii="宋体" w:hAnsi="宋体" w:cs="Arial"/>
                <w:szCs w:val="21"/>
              </w:rPr>
              <w:t xml:space="preserve">9665 </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公司网址：www.ehowbuy.com</w:t>
            </w:r>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10</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北京肯特瑞财富投资管理有限公司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办公地址：北京市亦庄经济开发区科创十一街18号院A座17层</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 xml:space="preserve">客服电话： </w:t>
            </w:r>
            <w:r w:rsidRPr="00516CBA">
              <w:rPr>
                <w:rFonts w:ascii="宋体" w:hAnsi="宋体" w:cs="Arial"/>
                <w:szCs w:val="21"/>
              </w:rPr>
              <w:t>95118</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3" w:history="1">
              <w:r w:rsidRPr="00516CBA">
                <w:rPr>
                  <w:rFonts w:ascii="宋体" w:hAnsi="宋体" w:cs="Arial"/>
                  <w:szCs w:val="21"/>
                </w:rPr>
                <w:t>www.fund.jd.com</w:t>
              </w:r>
            </w:hyperlink>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11</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北京钱景基金销售有限公司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办公地址：北京市海淀区丹棱街6号1幢9层1008-1012</w:t>
            </w:r>
          </w:p>
          <w:p w:rsidR="00516CBA" w:rsidRPr="00516CBA" w:rsidRDefault="00516CBA" w:rsidP="00C708E4">
            <w:pPr>
              <w:spacing w:line="400" w:lineRule="atLeast"/>
              <w:rPr>
                <w:rFonts w:ascii="宋体" w:hAnsi="宋体" w:cs="Arial"/>
                <w:szCs w:val="21"/>
              </w:rPr>
            </w:pPr>
            <w:r w:rsidRPr="00516CBA">
              <w:rPr>
                <w:rFonts w:ascii="宋体" w:hAnsi="宋体" w:cs="Arial" w:hint="eastAsia"/>
                <w:szCs w:val="21"/>
              </w:rPr>
              <w:t>客服电话：400-875-9885</w:t>
            </w:r>
          </w:p>
          <w:p w:rsidR="00516CBA" w:rsidRPr="00516CBA" w:rsidRDefault="00516CBA" w:rsidP="00C708E4">
            <w:pPr>
              <w:spacing w:line="400" w:lineRule="atLeast"/>
              <w:rPr>
                <w:rFonts w:ascii="宋体" w:hAnsi="宋体" w:cs="Arial"/>
                <w:kern w:val="0"/>
                <w:szCs w:val="21"/>
              </w:rPr>
            </w:pPr>
            <w:r w:rsidRPr="00516CBA">
              <w:rPr>
                <w:rFonts w:ascii="宋体" w:hAnsi="宋体" w:cs="Arial" w:hint="eastAsia"/>
                <w:szCs w:val="21"/>
              </w:rPr>
              <w:t>公司网址：</w:t>
            </w:r>
            <w:hyperlink r:id="rId14" w:history="1">
              <w:r w:rsidRPr="00516CBA">
                <w:rPr>
                  <w:rFonts w:ascii="宋体" w:hAnsi="宋体" w:cs="Arial"/>
                  <w:szCs w:val="21"/>
                </w:rPr>
                <w:t>www.qianjing</w:t>
              </w:r>
            </w:hyperlink>
            <w:r w:rsidRPr="00516CBA">
              <w:rPr>
                <w:rFonts w:ascii="宋体" w:hAnsi="宋体" w:cs="Arial"/>
                <w:szCs w:val="21"/>
              </w:rPr>
              <w:t>.com</w:t>
            </w:r>
          </w:p>
        </w:tc>
      </w:tr>
      <w:tr w:rsidR="00516CBA" w:rsidRPr="002E5FC9" w:rsidTr="00894408">
        <w:trPr>
          <w:trHeight w:val="651"/>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12</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浙江同花顺基金销售有限公司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办公地址：浙江省杭州市翠柏路7号杭州电子商务产业园2楼</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4008-773-772  0571-88920897</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r w:rsidRPr="00516CBA">
              <w:rPr>
                <w:rFonts w:ascii="宋体" w:hAnsi="宋体" w:cs="Arial"/>
                <w:szCs w:val="21"/>
              </w:rPr>
              <w:t>www.5ifund.com</w:t>
            </w:r>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13</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上海陆金所资产管理有限公司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办公地址：上海市浦东新区陆家嘴环路</w:t>
            </w:r>
            <w:r w:rsidRPr="00516CBA">
              <w:rPr>
                <w:rFonts w:ascii="宋体" w:hAnsi="宋体" w:cs="Arial"/>
                <w:szCs w:val="21"/>
              </w:rPr>
              <w:t>1333号14楼</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4008219031</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5" w:history="1">
              <w:r w:rsidRPr="00516CBA">
                <w:rPr>
                  <w:rFonts w:ascii="宋体" w:hAnsi="宋体" w:cs="Arial"/>
                  <w:szCs w:val="21"/>
                </w:rPr>
                <w:t>www.lufunds.com</w:t>
              </w:r>
            </w:hyperlink>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14</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深圳前海凯恩斯基金销售有限公司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办公地址：深圳市福田区深南大道</w:t>
            </w:r>
            <w:r w:rsidRPr="00516CBA">
              <w:rPr>
                <w:rFonts w:ascii="宋体" w:hAnsi="宋体" w:cs="Arial"/>
                <w:szCs w:val="21"/>
              </w:rPr>
              <w:t>6019</w:t>
            </w:r>
            <w:r w:rsidRPr="00516CBA">
              <w:rPr>
                <w:rFonts w:ascii="宋体" w:hAnsi="宋体" w:cs="Arial" w:hint="eastAsia"/>
                <w:szCs w:val="21"/>
              </w:rPr>
              <w:t>号金润大厦</w:t>
            </w:r>
            <w:r w:rsidRPr="00516CBA">
              <w:rPr>
                <w:rFonts w:ascii="宋体" w:hAnsi="宋体" w:cs="Arial"/>
                <w:szCs w:val="21"/>
              </w:rPr>
              <w:t>23A</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4008048688 </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6" w:history="1">
              <w:r w:rsidRPr="00516CBA">
                <w:rPr>
                  <w:rFonts w:ascii="宋体" w:hAnsi="宋体" w:cs="Arial"/>
                  <w:szCs w:val="21"/>
                </w:rPr>
                <w:t>www.keynesasset.com</w:t>
              </w:r>
            </w:hyperlink>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15</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上海联泰资产管理有限公司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办公地址：上海市长宁区金钟路658号2号楼B座6楼法定代表人：燕斌</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lastRenderedPageBreak/>
              <w:t>客服电话：400-046-6788</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7" w:history="1">
              <w:r w:rsidRPr="00516CBA">
                <w:rPr>
                  <w:rFonts w:ascii="宋体" w:hAnsi="宋体" w:cs="Arial"/>
                  <w:szCs w:val="21"/>
                </w:rPr>
                <w:t>www.66zichan.com</w:t>
              </w:r>
            </w:hyperlink>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lastRenderedPageBreak/>
              <w:t>16</w:t>
            </w:r>
          </w:p>
        </w:tc>
        <w:tc>
          <w:tcPr>
            <w:tcW w:w="2552"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上海天天基金销售有限公司</w:t>
            </w:r>
          </w:p>
          <w:p w:rsidR="00516CBA" w:rsidRPr="00516CBA" w:rsidRDefault="00516CBA" w:rsidP="00C708E4">
            <w:pPr>
              <w:snapToGrid w:val="0"/>
              <w:spacing w:line="360" w:lineRule="auto"/>
              <w:rPr>
                <w:rFonts w:ascii="宋体" w:hAnsi="宋体" w:cs="Arial"/>
                <w:kern w:val="0"/>
                <w:szCs w:val="21"/>
              </w:rPr>
            </w:pP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办公地址：上海市徐汇区宛平南路</w:t>
            </w:r>
            <w:r w:rsidRPr="00516CBA">
              <w:rPr>
                <w:rFonts w:ascii="宋体" w:hAnsi="宋体" w:cs="Arial"/>
                <w:szCs w:val="21"/>
              </w:rPr>
              <w:t>88</w:t>
            </w:r>
            <w:r w:rsidRPr="00516CBA">
              <w:rPr>
                <w:rFonts w:ascii="宋体" w:hAnsi="宋体" w:cs="Arial" w:hint="eastAsia"/>
                <w:szCs w:val="21"/>
              </w:rPr>
              <w:t>号金座（北楼）</w:t>
            </w:r>
            <w:r w:rsidRPr="00516CBA">
              <w:rPr>
                <w:rFonts w:ascii="宋体" w:hAnsi="宋体" w:cs="Arial"/>
                <w:szCs w:val="21"/>
              </w:rPr>
              <w:t>25</w:t>
            </w:r>
            <w:r w:rsidRPr="00516CBA">
              <w:rPr>
                <w:rFonts w:ascii="宋体" w:hAnsi="宋体" w:cs="Arial" w:hint="eastAsia"/>
                <w:szCs w:val="21"/>
              </w:rPr>
              <w:t>层</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客服电话：400-1818-188</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公司网址：http://www.1234567.com.cn</w:t>
            </w:r>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17</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珠海盈米财富管理有限公司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办公地址：广州市海珠区琶洲大道东1号保利国际广场南塔12楼B1201-1203</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客服电话：020-89629066</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8" w:history="1">
              <w:r w:rsidRPr="00516CBA">
                <w:rPr>
                  <w:rFonts w:ascii="宋体" w:hAnsi="宋体" w:cs="Arial"/>
                  <w:szCs w:val="21"/>
                </w:rPr>
                <w:t>www.yingmi.cn</w:t>
              </w:r>
            </w:hyperlink>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18</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上海长量基金销售投资顾问有限公司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办公地址：上海市浦东新区东方路1267号11层</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客服电话：400-820-2899</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r w:rsidRPr="00516CBA">
              <w:rPr>
                <w:rFonts w:ascii="宋体" w:hAnsi="宋体" w:cs="Arial"/>
                <w:szCs w:val="21"/>
              </w:rPr>
              <w:t xml:space="preserve"> www.erichfund.com</w:t>
            </w:r>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19</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北京汇成基金销售有限公司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办公地址：北京市海淀区中关村大街11号11层1108</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客服电话：4006199059</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hyperlink r:id="rId19" w:history="1">
              <w:r w:rsidRPr="00516CBA">
                <w:rPr>
                  <w:rFonts w:ascii="宋体" w:hAnsi="宋体" w:cs="Arial"/>
                  <w:szCs w:val="21"/>
                </w:rPr>
                <w:t>www.hcjijin.com</w:t>
              </w:r>
            </w:hyperlink>
          </w:p>
        </w:tc>
      </w:tr>
      <w:tr w:rsidR="00516CBA" w:rsidRPr="002E5FC9" w:rsidTr="00894408">
        <w:trPr>
          <w:trHeight w:val="58"/>
        </w:trPr>
        <w:tc>
          <w:tcPr>
            <w:tcW w:w="817" w:type="dxa"/>
            <w:hideMark/>
          </w:tcPr>
          <w:p w:rsidR="00516CBA" w:rsidRPr="00516CBA" w:rsidRDefault="00516CBA" w:rsidP="00C708E4">
            <w:pPr>
              <w:snapToGrid w:val="0"/>
              <w:spacing w:line="360" w:lineRule="auto"/>
              <w:rPr>
                <w:rFonts w:ascii="宋体" w:hAnsi="宋体" w:cs="Arial"/>
                <w:szCs w:val="21"/>
              </w:rPr>
            </w:pPr>
            <w:r w:rsidRPr="00516CBA">
              <w:rPr>
                <w:rFonts w:ascii="宋体" w:hAnsi="宋体" w:cs="Arial" w:hint="eastAsia"/>
                <w:szCs w:val="21"/>
              </w:rPr>
              <w:t>20</w:t>
            </w:r>
          </w:p>
        </w:tc>
        <w:tc>
          <w:tcPr>
            <w:tcW w:w="2552" w:type="dxa"/>
            <w:hideMark/>
          </w:tcPr>
          <w:p w:rsidR="00516CBA" w:rsidRPr="00516CBA" w:rsidRDefault="00516CBA" w:rsidP="00C708E4">
            <w:pPr>
              <w:snapToGrid w:val="0"/>
              <w:spacing w:line="360" w:lineRule="auto"/>
              <w:rPr>
                <w:rFonts w:ascii="宋体" w:hAnsi="宋体" w:cs="Arial"/>
                <w:kern w:val="0"/>
                <w:szCs w:val="21"/>
              </w:rPr>
            </w:pPr>
            <w:r w:rsidRPr="00516CBA">
              <w:rPr>
                <w:rFonts w:ascii="宋体" w:hAnsi="宋体" w:cs="Arial" w:hint="eastAsia"/>
                <w:szCs w:val="21"/>
              </w:rPr>
              <w:t>深圳市新兰德证券投资咨询有限公司</w:t>
            </w:r>
          </w:p>
        </w:tc>
        <w:tc>
          <w:tcPr>
            <w:tcW w:w="4723" w:type="dxa"/>
          </w:tcPr>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办公地址：北京市西城区宣武门外大街</w:t>
            </w:r>
            <w:r w:rsidRPr="00516CBA">
              <w:rPr>
                <w:rFonts w:ascii="宋体" w:hAnsi="宋体" w:cs="Arial"/>
                <w:szCs w:val="21"/>
              </w:rPr>
              <w:t>10</w:t>
            </w:r>
            <w:r w:rsidRPr="00516CBA">
              <w:rPr>
                <w:rFonts w:ascii="宋体" w:hAnsi="宋体" w:cs="Arial" w:hint="eastAsia"/>
                <w:szCs w:val="21"/>
              </w:rPr>
              <w:t>号庄胜广场中央办公楼东翼</w:t>
            </w:r>
            <w:r w:rsidRPr="00516CBA">
              <w:rPr>
                <w:rFonts w:ascii="宋体" w:hAnsi="宋体" w:cs="Arial"/>
                <w:szCs w:val="21"/>
              </w:rPr>
              <w:t>7</w:t>
            </w:r>
            <w:r w:rsidRPr="00516CBA">
              <w:rPr>
                <w:rFonts w:ascii="宋体" w:hAnsi="宋体" w:cs="Arial" w:hint="eastAsia"/>
                <w:szCs w:val="21"/>
              </w:rPr>
              <w:t>层</w:t>
            </w:r>
          </w:p>
          <w:p w:rsidR="00516CBA" w:rsidRPr="00516CBA" w:rsidRDefault="00516CBA" w:rsidP="00C708E4">
            <w:pPr>
              <w:spacing w:line="400" w:lineRule="exact"/>
              <w:jc w:val="left"/>
              <w:rPr>
                <w:rFonts w:ascii="宋体" w:hAnsi="宋体" w:cs="Arial"/>
                <w:szCs w:val="21"/>
              </w:rPr>
            </w:pPr>
            <w:r w:rsidRPr="00516CBA">
              <w:rPr>
                <w:rFonts w:ascii="宋体" w:hAnsi="宋体" w:cs="Arial" w:hint="eastAsia"/>
                <w:szCs w:val="21"/>
              </w:rPr>
              <w:t>客服电话：</w:t>
            </w:r>
            <w:r w:rsidRPr="00516CBA">
              <w:rPr>
                <w:rFonts w:ascii="宋体" w:hAnsi="宋体" w:cs="Arial"/>
                <w:szCs w:val="21"/>
              </w:rPr>
              <w:t>400-166-1188</w:t>
            </w:r>
          </w:p>
          <w:p w:rsidR="00516CBA" w:rsidRPr="00516CBA" w:rsidRDefault="00516CBA" w:rsidP="00C708E4">
            <w:pPr>
              <w:spacing w:line="400" w:lineRule="exact"/>
              <w:jc w:val="left"/>
              <w:rPr>
                <w:rFonts w:ascii="宋体" w:hAnsi="宋体" w:cs="Arial"/>
                <w:kern w:val="0"/>
                <w:szCs w:val="21"/>
              </w:rPr>
            </w:pPr>
            <w:r w:rsidRPr="00516CBA">
              <w:rPr>
                <w:rFonts w:ascii="宋体" w:hAnsi="宋体" w:cs="Arial" w:hint="eastAsia"/>
                <w:szCs w:val="21"/>
              </w:rPr>
              <w:t>公司网址：</w:t>
            </w:r>
            <w:r w:rsidRPr="00516CBA">
              <w:rPr>
                <w:rFonts w:ascii="宋体" w:hAnsi="宋体" w:cs="Arial"/>
                <w:szCs w:val="21"/>
              </w:rPr>
              <w:t>http://8.jrj.com.cn/</w:t>
            </w:r>
          </w:p>
        </w:tc>
      </w:tr>
      <w:tr w:rsidR="00047E81" w:rsidRPr="002E5FC9" w:rsidTr="00894408">
        <w:trPr>
          <w:trHeight w:val="58"/>
        </w:trPr>
        <w:tc>
          <w:tcPr>
            <w:tcW w:w="817" w:type="dxa"/>
          </w:tcPr>
          <w:p w:rsidR="00047E81" w:rsidRPr="00047E81" w:rsidRDefault="00047E81" w:rsidP="00C708E4">
            <w:pPr>
              <w:snapToGrid w:val="0"/>
              <w:spacing w:line="360" w:lineRule="auto"/>
              <w:rPr>
                <w:rFonts w:ascii="宋体" w:hAnsi="宋体" w:cs="Arial"/>
                <w:szCs w:val="21"/>
              </w:rPr>
            </w:pPr>
            <w:r w:rsidRPr="00047E81">
              <w:rPr>
                <w:rFonts w:ascii="宋体" w:hAnsi="宋体" w:cs="Arial" w:hint="eastAsia"/>
                <w:szCs w:val="21"/>
              </w:rPr>
              <w:t>21</w:t>
            </w:r>
          </w:p>
        </w:tc>
        <w:tc>
          <w:tcPr>
            <w:tcW w:w="2552" w:type="dxa"/>
          </w:tcPr>
          <w:p w:rsidR="00047E81" w:rsidRPr="00047E81" w:rsidRDefault="00047E81" w:rsidP="00C708E4">
            <w:pPr>
              <w:snapToGrid w:val="0"/>
              <w:spacing w:line="360" w:lineRule="auto"/>
              <w:rPr>
                <w:rFonts w:ascii="宋体" w:hAnsi="宋体" w:cs="Arial"/>
                <w:szCs w:val="21"/>
              </w:rPr>
            </w:pPr>
            <w:r w:rsidRPr="00047E81">
              <w:rPr>
                <w:rFonts w:ascii="宋体" w:hAnsi="宋体" w:cs="Arial" w:hint="eastAsia"/>
                <w:szCs w:val="21"/>
              </w:rPr>
              <w:t>泰诚财富基金销售（大连）有限公司</w:t>
            </w:r>
          </w:p>
        </w:tc>
        <w:tc>
          <w:tcPr>
            <w:tcW w:w="4723" w:type="dxa"/>
          </w:tcPr>
          <w:p w:rsidR="00047E81" w:rsidRPr="00047E81" w:rsidRDefault="00047E81" w:rsidP="00D140ED">
            <w:pPr>
              <w:spacing w:line="400" w:lineRule="exact"/>
              <w:jc w:val="left"/>
              <w:rPr>
                <w:rFonts w:ascii="宋体" w:hAnsi="宋体" w:cs="Arial"/>
                <w:szCs w:val="21"/>
              </w:rPr>
            </w:pPr>
            <w:r w:rsidRPr="00047E81">
              <w:rPr>
                <w:rFonts w:ascii="宋体" w:hAnsi="宋体" w:cs="Arial" w:hint="eastAsia"/>
                <w:szCs w:val="21"/>
              </w:rPr>
              <w:t>办公地址：辽宁省大连市沙河口区星海中龙园3号</w:t>
            </w:r>
          </w:p>
          <w:p w:rsidR="00047E81" w:rsidRPr="00047E81" w:rsidRDefault="00047E81" w:rsidP="00D140ED">
            <w:pPr>
              <w:spacing w:line="400" w:lineRule="exact"/>
              <w:jc w:val="left"/>
              <w:rPr>
                <w:rFonts w:ascii="宋体" w:hAnsi="宋体" w:cs="Arial"/>
                <w:szCs w:val="21"/>
              </w:rPr>
            </w:pPr>
            <w:r w:rsidRPr="00047E81">
              <w:rPr>
                <w:rFonts w:ascii="宋体" w:hAnsi="宋体" w:cs="Arial" w:hint="eastAsia"/>
                <w:szCs w:val="21"/>
              </w:rPr>
              <w:t>客服电话：4006411999</w:t>
            </w:r>
          </w:p>
          <w:p w:rsidR="00047E81" w:rsidRPr="006B6091" w:rsidRDefault="00047E81" w:rsidP="00C708E4">
            <w:pPr>
              <w:spacing w:line="400" w:lineRule="exact"/>
              <w:jc w:val="left"/>
              <w:rPr>
                <w:rFonts w:ascii="宋体" w:hAnsi="宋体" w:cs="Arial"/>
                <w:szCs w:val="21"/>
              </w:rPr>
            </w:pPr>
            <w:r w:rsidRPr="00047E81">
              <w:rPr>
                <w:rFonts w:ascii="宋体" w:hAnsi="宋体" w:cs="Arial" w:hint="eastAsia"/>
                <w:szCs w:val="21"/>
              </w:rPr>
              <w:t>公司网址：</w:t>
            </w:r>
            <w:hyperlink r:id="rId20" w:history="1">
              <w:r w:rsidRPr="00047E81">
                <w:rPr>
                  <w:rFonts w:ascii="宋体" w:hAnsi="宋体" w:cs="Arial" w:hint="eastAsia"/>
                  <w:szCs w:val="21"/>
                </w:rPr>
                <w:t>www.taichengcaifu.com</w:t>
              </w:r>
            </w:hyperlink>
          </w:p>
        </w:tc>
      </w:tr>
      <w:tr w:rsidR="00066765" w:rsidRPr="002E5FC9" w:rsidTr="00894408">
        <w:trPr>
          <w:trHeight w:val="58"/>
        </w:trPr>
        <w:tc>
          <w:tcPr>
            <w:tcW w:w="817" w:type="dxa"/>
          </w:tcPr>
          <w:p w:rsidR="00066765" w:rsidRPr="00047E81" w:rsidRDefault="00066765" w:rsidP="00C708E4">
            <w:pPr>
              <w:snapToGrid w:val="0"/>
              <w:spacing w:line="360" w:lineRule="auto"/>
              <w:rPr>
                <w:rFonts w:ascii="宋体" w:hAnsi="宋体" w:cs="Arial"/>
                <w:szCs w:val="21"/>
              </w:rPr>
            </w:pPr>
            <w:r>
              <w:rPr>
                <w:rFonts w:ascii="宋体" w:hAnsi="宋体" w:cs="Arial" w:hint="eastAsia"/>
                <w:szCs w:val="21"/>
              </w:rPr>
              <w:t>22</w:t>
            </w:r>
          </w:p>
        </w:tc>
        <w:tc>
          <w:tcPr>
            <w:tcW w:w="2552" w:type="dxa"/>
          </w:tcPr>
          <w:p w:rsidR="00066765" w:rsidRPr="00047E81" w:rsidRDefault="00066765" w:rsidP="00C708E4">
            <w:pPr>
              <w:snapToGrid w:val="0"/>
              <w:spacing w:line="360" w:lineRule="auto"/>
              <w:rPr>
                <w:rFonts w:ascii="宋体" w:hAnsi="宋体" w:cs="Arial"/>
                <w:szCs w:val="21"/>
              </w:rPr>
            </w:pPr>
            <w:r w:rsidRPr="00066765">
              <w:rPr>
                <w:rFonts w:ascii="宋体" w:hAnsi="宋体" w:cs="Arial" w:hint="eastAsia"/>
                <w:szCs w:val="21"/>
              </w:rPr>
              <w:t>济安财富（北京）基金销售有限公司</w:t>
            </w:r>
          </w:p>
        </w:tc>
        <w:tc>
          <w:tcPr>
            <w:tcW w:w="4723" w:type="dxa"/>
          </w:tcPr>
          <w:p w:rsidR="00066765" w:rsidRPr="00066765" w:rsidRDefault="00066765" w:rsidP="00066765">
            <w:pPr>
              <w:rPr>
                <w:rFonts w:ascii="宋体" w:hAnsi="宋体" w:cs="Arial"/>
                <w:szCs w:val="21"/>
              </w:rPr>
            </w:pPr>
            <w:r w:rsidRPr="00066765">
              <w:rPr>
                <w:rFonts w:ascii="宋体" w:hAnsi="宋体" w:cs="Arial" w:hint="eastAsia"/>
                <w:szCs w:val="21"/>
              </w:rPr>
              <w:t>注册(办公)地址：北京市朝阳区太阳宫中路16号院1号楼3层307</w:t>
            </w:r>
          </w:p>
          <w:p w:rsidR="00066765" w:rsidRPr="00066765" w:rsidRDefault="00066765" w:rsidP="00066765">
            <w:pPr>
              <w:rPr>
                <w:rFonts w:ascii="宋体" w:hAnsi="宋体" w:cs="Arial"/>
                <w:szCs w:val="21"/>
              </w:rPr>
            </w:pPr>
            <w:r w:rsidRPr="00066765">
              <w:rPr>
                <w:rFonts w:ascii="宋体" w:hAnsi="宋体" w:cs="Arial" w:hint="eastAsia"/>
                <w:szCs w:val="21"/>
              </w:rPr>
              <w:t>客户服务电话：400-673-7010</w:t>
            </w:r>
          </w:p>
          <w:p w:rsidR="00066765" w:rsidRPr="00047E81" w:rsidRDefault="00066765" w:rsidP="00066765">
            <w:pPr>
              <w:spacing w:line="400" w:lineRule="exact"/>
              <w:jc w:val="left"/>
              <w:rPr>
                <w:rFonts w:ascii="宋体" w:hAnsi="宋体" w:cs="Arial"/>
                <w:szCs w:val="21"/>
              </w:rPr>
            </w:pPr>
            <w:r w:rsidRPr="00066765">
              <w:rPr>
                <w:rFonts w:ascii="宋体" w:hAnsi="宋体" w:cs="Arial" w:hint="eastAsia"/>
                <w:szCs w:val="21"/>
              </w:rPr>
              <w:t>网址：</w:t>
            </w:r>
            <w:hyperlink r:id="rId21" w:history="1">
              <w:r w:rsidRPr="00066765">
                <w:rPr>
                  <w:rFonts w:ascii="宋体" w:hAnsi="宋体" w:cs="Arial"/>
                  <w:szCs w:val="21"/>
                </w:rPr>
                <w:t>www.jianfortune.com</w:t>
              </w:r>
            </w:hyperlink>
          </w:p>
        </w:tc>
      </w:tr>
      <w:tr w:rsidR="00A435A9" w:rsidRPr="002E5FC9" w:rsidTr="00894408">
        <w:trPr>
          <w:trHeight w:val="58"/>
        </w:trPr>
        <w:tc>
          <w:tcPr>
            <w:tcW w:w="817" w:type="dxa"/>
          </w:tcPr>
          <w:p w:rsidR="00A435A9" w:rsidRDefault="00A435A9" w:rsidP="00C708E4">
            <w:pPr>
              <w:snapToGrid w:val="0"/>
              <w:spacing w:line="360" w:lineRule="auto"/>
              <w:rPr>
                <w:rFonts w:ascii="宋体" w:hAnsi="宋体" w:cs="Arial"/>
                <w:szCs w:val="21"/>
              </w:rPr>
            </w:pPr>
            <w:r>
              <w:rPr>
                <w:rFonts w:ascii="宋体" w:hAnsi="宋体" w:cs="Arial" w:hint="eastAsia"/>
                <w:szCs w:val="21"/>
              </w:rPr>
              <w:t>23</w:t>
            </w:r>
          </w:p>
        </w:tc>
        <w:tc>
          <w:tcPr>
            <w:tcW w:w="2552" w:type="dxa"/>
          </w:tcPr>
          <w:p w:rsidR="00A435A9" w:rsidRPr="00066765" w:rsidRDefault="00A435A9" w:rsidP="00C708E4">
            <w:pPr>
              <w:snapToGrid w:val="0"/>
              <w:spacing w:line="360" w:lineRule="auto"/>
              <w:rPr>
                <w:rFonts w:ascii="宋体" w:hAnsi="宋体" w:cs="Arial"/>
                <w:szCs w:val="21"/>
              </w:rPr>
            </w:pPr>
            <w:r w:rsidRPr="00A435A9">
              <w:rPr>
                <w:rFonts w:ascii="宋体" w:hAnsi="宋体" w:cs="Arial" w:hint="eastAsia"/>
                <w:szCs w:val="21"/>
              </w:rPr>
              <w:t>金惠家保险代理有限公司</w:t>
            </w:r>
          </w:p>
        </w:tc>
        <w:tc>
          <w:tcPr>
            <w:tcW w:w="4723" w:type="dxa"/>
          </w:tcPr>
          <w:p w:rsidR="00A435A9" w:rsidRPr="00A435A9" w:rsidRDefault="00A435A9" w:rsidP="00A435A9">
            <w:pPr>
              <w:rPr>
                <w:rFonts w:ascii="宋体" w:hAnsi="宋体" w:cs="Arial"/>
                <w:szCs w:val="21"/>
              </w:rPr>
            </w:pPr>
            <w:r w:rsidRPr="00A435A9">
              <w:rPr>
                <w:rFonts w:ascii="宋体" w:hAnsi="宋体" w:cs="Arial" w:hint="eastAsia"/>
                <w:szCs w:val="21"/>
              </w:rPr>
              <w:t>注册(办公)地址：北京市西城区阜成门外大街2号19层A2017</w:t>
            </w:r>
          </w:p>
          <w:p w:rsidR="00A435A9" w:rsidRPr="00A435A9" w:rsidRDefault="00A435A9" w:rsidP="00A435A9">
            <w:pPr>
              <w:rPr>
                <w:rFonts w:ascii="宋体" w:hAnsi="宋体" w:cs="Arial"/>
                <w:szCs w:val="21"/>
              </w:rPr>
            </w:pPr>
            <w:r w:rsidRPr="00A435A9">
              <w:rPr>
                <w:rFonts w:ascii="宋体" w:hAnsi="宋体" w:cs="Arial" w:hint="eastAsia"/>
                <w:szCs w:val="21"/>
              </w:rPr>
              <w:t>客户服务电话：400-1060101</w:t>
            </w:r>
          </w:p>
          <w:p w:rsidR="00A435A9" w:rsidRPr="00A435A9" w:rsidRDefault="00A435A9" w:rsidP="00F626B4">
            <w:pPr>
              <w:rPr>
                <w:rFonts w:ascii="宋体" w:hAnsi="宋体" w:cs="Arial"/>
                <w:szCs w:val="21"/>
              </w:rPr>
            </w:pPr>
            <w:r w:rsidRPr="00A435A9">
              <w:rPr>
                <w:rFonts w:ascii="宋体" w:hAnsi="宋体" w:cs="Arial" w:hint="eastAsia"/>
                <w:szCs w:val="21"/>
              </w:rPr>
              <w:t>网址：</w:t>
            </w:r>
            <w:r w:rsidRPr="00A435A9">
              <w:rPr>
                <w:rFonts w:ascii="宋体" w:hAnsi="宋体" w:cs="Arial"/>
                <w:szCs w:val="21"/>
              </w:rPr>
              <w:t xml:space="preserve"> </w:t>
            </w:r>
            <w:r w:rsidRPr="00A435A9">
              <w:rPr>
                <w:rFonts w:ascii="宋体" w:hAnsi="宋体" w:cs="Arial" w:hint="eastAsia"/>
                <w:szCs w:val="21"/>
              </w:rPr>
              <w:t>www.jhjfund.com</w:t>
            </w:r>
            <w:bookmarkStart w:id="14" w:name="_GoBack"/>
            <w:bookmarkEnd w:id="14"/>
          </w:p>
        </w:tc>
      </w:tr>
    </w:tbl>
    <w:p w:rsidR="00516CBA" w:rsidRDefault="00516CBA" w:rsidP="00516CBA">
      <w:pPr>
        <w:tabs>
          <w:tab w:val="num" w:pos="540"/>
        </w:tabs>
        <w:adjustRightInd w:val="0"/>
        <w:snapToGrid w:val="0"/>
        <w:spacing w:line="360" w:lineRule="auto"/>
        <w:ind w:firstLineChars="200" w:firstLine="480"/>
        <w:rPr>
          <w:rFonts w:asciiTheme="minorEastAsia" w:hAnsiTheme="minorEastAsia" w:cs="Arial"/>
          <w:sz w:val="24"/>
        </w:rPr>
      </w:pPr>
    </w:p>
    <w:p w:rsidR="00A435A9" w:rsidRDefault="00A435A9" w:rsidP="00516CBA">
      <w:pPr>
        <w:tabs>
          <w:tab w:val="num" w:pos="540"/>
        </w:tabs>
        <w:adjustRightInd w:val="0"/>
        <w:snapToGrid w:val="0"/>
        <w:spacing w:line="360" w:lineRule="auto"/>
        <w:ind w:firstLineChars="200" w:firstLine="480"/>
        <w:rPr>
          <w:rFonts w:asciiTheme="minorEastAsia" w:hAnsiTheme="minorEastAsia" w:cs="Arial"/>
          <w:sz w:val="24"/>
        </w:rPr>
      </w:pPr>
    </w:p>
    <w:p w:rsidR="00A435A9" w:rsidRPr="00EB1C04" w:rsidRDefault="00A435A9" w:rsidP="00A435A9">
      <w:pPr>
        <w:tabs>
          <w:tab w:val="num" w:pos="540"/>
        </w:tabs>
        <w:adjustRightInd w:val="0"/>
        <w:snapToGrid w:val="0"/>
        <w:spacing w:line="360" w:lineRule="auto"/>
        <w:rPr>
          <w:rFonts w:asciiTheme="minorEastAsia" w:hAnsiTheme="minorEastAsia" w:cs="Arial"/>
          <w:sz w:val="24"/>
        </w:rPr>
      </w:pPr>
    </w:p>
    <w:p w:rsidR="00516CBA" w:rsidRPr="00516CBA" w:rsidRDefault="00516CBA" w:rsidP="00516CBA">
      <w:pPr>
        <w:tabs>
          <w:tab w:val="num" w:pos="540"/>
        </w:tabs>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szCs w:val="21"/>
        </w:rPr>
        <w:lastRenderedPageBreak/>
        <w:t>二、登记机构</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名称：富荣基金管理有限公司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住所：广东省广州市南沙区海滨路171号南沙金融大厦11楼1101之一J20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办公地址：深圳市福田区深南大道2012号深圳证券交易所广场3501室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法定代表人：刘志军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联系人：黄文飞</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电话： 0755-84356604</w:t>
      </w:r>
    </w:p>
    <w:p w:rsidR="00516CBA" w:rsidRPr="00516CBA" w:rsidRDefault="00516CBA" w:rsidP="00516CBA">
      <w:pPr>
        <w:adjustRightInd w:val="0"/>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传真： 0755-83230787</w:t>
      </w:r>
    </w:p>
    <w:p w:rsidR="00516CBA" w:rsidRPr="00516CBA" w:rsidRDefault="00516CBA" w:rsidP="00516CBA">
      <w:pPr>
        <w:tabs>
          <w:tab w:val="num" w:pos="540"/>
        </w:tabs>
        <w:adjustRightInd w:val="0"/>
        <w:snapToGrid w:val="0"/>
        <w:spacing w:line="360" w:lineRule="auto"/>
        <w:ind w:firstLineChars="200" w:firstLine="422"/>
        <w:rPr>
          <w:rFonts w:ascii="宋体" w:hAnsi="宋体" w:cs="Arial"/>
          <w:b/>
          <w:bCs/>
          <w:szCs w:val="21"/>
        </w:rPr>
      </w:pPr>
      <w:r w:rsidRPr="00516CBA">
        <w:rPr>
          <w:rFonts w:ascii="宋体" w:hAnsi="宋体" w:cs="Arial" w:hint="eastAsia"/>
          <w:b/>
          <w:bCs/>
          <w:szCs w:val="21"/>
        </w:rPr>
        <w:t>三、</w:t>
      </w:r>
      <w:r w:rsidRPr="00516CBA">
        <w:rPr>
          <w:rFonts w:ascii="宋体" w:hAnsi="宋体" w:hint="eastAsia"/>
          <w:b/>
          <w:bCs/>
          <w:color w:val="000000"/>
          <w:szCs w:val="21"/>
        </w:rPr>
        <w:t>出具法律意见书的律师事务所</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名称：上海市通力律师事务所</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住所：上海市银城中路68号时代金融中心19楼</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办公地址：上海市银城中路68号时代金融中心19楼</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负责人：俞卫锋</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电话：021-31358666</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传真：021-31358600</w:t>
      </w:r>
    </w:p>
    <w:p w:rsidR="00516CBA" w:rsidRPr="00516CBA" w:rsidRDefault="00516CBA" w:rsidP="00516CBA">
      <w:pPr>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经办律师：陆奇、安冬</w:t>
      </w:r>
    </w:p>
    <w:p w:rsidR="00516CBA" w:rsidRPr="00516CBA" w:rsidRDefault="00516CBA" w:rsidP="00516CBA">
      <w:pPr>
        <w:adjustRightInd w:val="0"/>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联系人： 陆奇</w:t>
      </w:r>
    </w:p>
    <w:p w:rsidR="00516CBA" w:rsidRPr="00516CBA" w:rsidRDefault="00516CBA" w:rsidP="00516CBA">
      <w:pPr>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kern w:val="0"/>
          <w:szCs w:val="21"/>
        </w:rPr>
        <w:t>四、</w:t>
      </w:r>
      <w:r w:rsidRPr="00516CBA">
        <w:rPr>
          <w:rFonts w:ascii="宋体" w:hAnsi="宋体" w:hint="eastAsia"/>
          <w:b/>
          <w:bCs/>
          <w:color w:val="000000"/>
          <w:szCs w:val="21"/>
        </w:rPr>
        <w:t>审计基金财产的会计师事务所</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名称：普华永道中天会计师事务所（特殊普通合伙）</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住所：上海市浦东新区陆家嘴环路1318号星展银行大厦6楼</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办公地址：上海市黄浦区湖滨路202号普华永道中心11楼</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法定代表人：李丹</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电话：（021）2323 8888</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传真：（021）2323 8800</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签字注册会计师：曹翠丽、边晓红</w:t>
      </w:r>
    </w:p>
    <w:p w:rsidR="00516CBA" w:rsidRPr="00516CBA" w:rsidRDefault="00516CBA" w:rsidP="00516CBA">
      <w:pPr>
        <w:adjustRightInd w:val="0"/>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联系人：边晓红</w:t>
      </w:r>
    </w:p>
    <w:p w:rsidR="006E7E83" w:rsidRDefault="006E7E83" w:rsidP="00E61A92">
      <w:pPr>
        <w:adjustRightInd w:val="0"/>
        <w:snapToGrid w:val="0"/>
        <w:spacing w:line="360" w:lineRule="auto"/>
        <w:ind w:firstLineChars="200" w:firstLine="420"/>
        <w:rPr>
          <w:rFonts w:ascii="Arial Unicode MS" w:hAnsi="Arial Unicode MS" w:cs="Arial"/>
          <w:kern w:val="0"/>
          <w:szCs w:val="21"/>
        </w:rPr>
      </w:pPr>
    </w:p>
    <w:p w:rsidR="006E7E83" w:rsidRDefault="006E7E83" w:rsidP="00E61A92">
      <w:pPr>
        <w:adjustRightInd w:val="0"/>
        <w:snapToGrid w:val="0"/>
        <w:spacing w:line="360" w:lineRule="auto"/>
        <w:ind w:firstLineChars="200" w:firstLine="420"/>
        <w:rPr>
          <w:rFonts w:ascii="Arial Unicode MS" w:hAnsi="Arial Unicode MS" w:cs="Arial"/>
          <w:kern w:val="0"/>
          <w:szCs w:val="21"/>
        </w:rPr>
      </w:pPr>
    </w:p>
    <w:p w:rsidR="006E7E83" w:rsidRDefault="006E7E83" w:rsidP="00E61A92">
      <w:pPr>
        <w:adjustRightInd w:val="0"/>
        <w:snapToGrid w:val="0"/>
        <w:spacing w:line="360" w:lineRule="auto"/>
        <w:ind w:firstLineChars="200" w:firstLine="420"/>
        <w:rPr>
          <w:rFonts w:ascii="Arial Unicode MS" w:hAnsi="Arial Unicode MS" w:cs="Arial"/>
          <w:kern w:val="0"/>
          <w:szCs w:val="21"/>
        </w:rPr>
      </w:pPr>
    </w:p>
    <w:p w:rsidR="006E7E83" w:rsidRDefault="006E7E83" w:rsidP="00C708E4">
      <w:pPr>
        <w:adjustRightInd w:val="0"/>
        <w:snapToGrid w:val="0"/>
        <w:spacing w:line="360" w:lineRule="auto"/>
        <w:rPr>
          <w:rFonts w:ascii="Arial Unicode MS" w:hAnsi="Arial Unicode MS" w:cs="Arial"/>
          <w:kern w:val="0"/>
          <w:szCs w:val="21"/>
        </w:rPr>
      </w:pPr>
    </w:p>
    <w:p w:rsidR="002071AC" w:rsidRDefault="002071AC" w:rsidP="00C708E4">
      <w:pPr>
        <w:adjustRightInd w:val="0"/>
        <w:snapToGrid w:val="0"/>
        <w:spacing w:line="360" w:lineRule="auto"/>
        <w:rPr>
          <w:rFonts w:ascii="Arial Unicode MS" w:hAnsi="Arial Unicode MS" w:cs="Arial"/>
          <w:kern w:val="0"/>
          <w:szCs w:val="21"/>
        </w:rPr>
      </w:pPr>
    </w:p>
    <w:p w:rsidR="002071AC" w:rsidRDefault="002071AC" w:rsidP="00C708E4">
      <w:pPr>
        <w:adjustRightInd w:val="0"/>
        <w:snapToGrid w:val="0"/>
        <w:spacing w:line="360" w:lineRule="auto"/>
        <w:rPr>
          <w:rFonts w:ascii="Arial Unicode MS" w:hAnsi="Arial Unicode MS" w:cs="Arial"/>
          <w:kern w:val="0"/>
          <w:szCs w:val="21"/>
        </w:rPr>
      </w:pPr>
    </w:p>
    <w:p w:rsidR="0045798E" w:rsidRDefault="007026B8">
      <w:pPr>
        <w:pStyle w:val="1"/>
        <w:numPr>
          <w:ilvl w:val="0"/>
          <w:numId w:val="3"/>
        </w:numPr>
        <w:spacing w:before="100" w:after="120" w:line="579" w:lineRule="auto"/>
        <w:jc w:val="center"/>
        <w:rPr>
          <w:rFonts w:ascii="宋体" w:hAnsi="宋体"/>
          <w:color w:val="000000"/>
          <w:kern w:val="0"/>
          <w:sz w:val="24"/>
          <w:szCs w:val="24"/>
        </w:rPr>
      </w:pPr>
      <w:bookmarkStart w:id="15" w:name="_Toc482624795"/>
      <w:bookmarkStart w:id="16" w:name="_Toc256666915"/>
      <w:bookmarkStart w:id="17" w:name="_Toc256666795"/>
      <w:bookmarkStart w:id="18" w:name="_Toc28223"/>
      <w:bookmarkEnd w:id="13"/>
      <w:r>
        <w:rPr>
          <w:rFonts w:ascii="宋体" w:hAnsi="宋体" w:hint="eastAsia"/>
          <w:color w:val="000000"/>
          <w:kern w:val="0"/>
          <w:sz w:val="24"/>
          <w:szCs w:val="24"/>
        </w:rPr>
        <w:lastRenderedPageBreak/>
        <w:t>基金的名称</w:t>
      </w:r>
    </w:p>
    <w:p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953DC4" w:rsidRPr="00953DC4">
        <w:rPr>
          <w:rFonts w:ascii="宋体" w:hAnsi="宋体" w:hint="eastAsia"/>
          <w:color w:val="000000"/>
          <w:kern w:val="0"/>
          <w:szCs w:val="21"/>
        </w:rPr>
        <w:t>富荣福康混合型</w:t>
      </w:r>
      <w:r w:rsidR="00CC35A4" w:rsidRPr="00FA60BA">
        <w:rPr>
          <w:rFonts w:ascii="宋体" w:hAnsi="宋体"/>
          <w:color w:val="000000"/>
          <w:kern w:val="0"/>
          <w:szCs w:val="21"/>
        </w:rPr>
        <w:t>证券投资基金</w:t>
      </w:r>
      <w:r w:rsidRPr="00DE07E1">
        <w:rPr>
          <w:rFonts w:ascii="宋体" w:hAnsi="宋体" w:hint="eastAsia"/>
          <w:color w:val="000000"/>
          <w:kern w:val="0"/>
          <w:szCs w:val="21"/>
        </w:rPr>
        <w:t>。</w:t>
      </w:r>
    </w:p>
    <w:p w:rsidR="0045798E" w:rsidRPr="00CC35A4" w:rsidRDefault="0045798E"/>
    <w:p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6E7E83">
        <w:rPr>
          <w:rFonts w:ascii="宋体" w:hAnsi="宋体" w:hint="eastAsia"/>
          <w:color w:val="000000"/>
          <w:kern w:val="0"/>
          <w:szCs w:val="21"/>
        </w:rPr>
        <w:t>混合</w:t>
      </w:r>
      <w:r w:rsidRPr="00DE07E1">
        <w:rPr>
          <w:rFonts w:ascii="宋体" w:hAnsi="宋体" w:hint="eastAsia"/>
          <w:color w:val="000000"/>
          <w:kern w:val="0"/>
          <w:szCs w:val="21"/>
        </w:rPr>
        <w:t>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9" w:name="_Toc55791176"/>
      <w:bookmarkStart w:id="20" w:name="_Toc256666918"/>
      <w:bookmarkStart w:id="21" w:name="_Toc256666798"/>
      <w:bookmarkStart w:id="22" w:name="_Toc88969266"/>
      <w:bookmarkEnd w:id="15"/>
      <w:bookmarkEnd w:id="16"/>
      <w:bookmarkEnd w:id="17"/>
      <w:bookmarkEnd w:id="18"/>
    </w:p>
    <w:p w:rsidR="0045798E" w:rsidRDefault="007026B8" w:rsidP="00A870EE">
      <w:pPr>
        <w:pStyle w:val="1"/>
        <w:spacing w:beforeLines="50" w:before="156" w:afterLines="50" w:after="156" w:line="360" w:lineRule="auto"/>
        <w:ind w:firstLineChars="100" w:firstLine="241"/>
        <w:jc w:val="center"/>
        <w:rPr>
          <w:rFonts w:ascii="宋体" w:hAnsi="宋体"/>
          <w:color w:val="000000"/>
          <w:kern w:val="0"/>
          <w:sz w:val="24"/>
          <w:szCs w:val="24"/>
        </w:rPr>
      </w:pPr>
      <w:bookmarkStart w:id="23" w:name="_Toc482624798"/>
      <w:bookmarkStart w:id="24" w:name="_Toc23324"/>
      <w:r>
        <w:rPr>
          <w:rFonts w:ascii="宋体" w:hAnsi="宋体" w:hint="eastAsia"/>
          <w:color w:val="000000"/>
          <w:kern w:val="0"/>
          <w:sz w:val="24"/>
          <w:szCs w:val="24"/>
        </w:rPr>
        <w:t>六、基金的投资</w:t>
      </w:r>
      <w:bookmarkEnd w:id="23"/>
      <w:bookmarkEnd w:id="24"/>
    </w:p>
    <w:p w:rsidR="001050ED" w:rsidRPr="00082553" w:rsidRDefault="001050ED" w:rsidP="00312A0B">
      <w:pPr>
        <w:adjustRightInd w:val="0"/>
        <w:snapToGrid w:val="0"/>
        <w:spacing w:line="360" w:lineRule="auto"/>
        <w:ind w:firstLineChars="200" w:firstLine="422"/>
        <w:rPr>
          <w:rFonts w:ascii="宋体" w:hAnsi="宋体" w:cs="Arial"/>
          <w:b/>
          <w:bCs/>
          <w:szCs w:val="21"/>
        </w:rPr>
      </w:pPr>
      <w:bookmarkStart w:id="25" w:name="_Toc88969271"/>
      <w:bookmarkEnd w:id="19"/>
      <w:bookmarkEnd w:id="20"/>
      <w:bookmarkEnd w:id="21"/>
      <w:bookmarkEnd w:id="22"/>
      <w:r w:rsidRPr="00082553">
        <w:rPr>
          <w:rFonts w:ascii="宋体" w:hAnsi="宋体" w:cs="Arial" w:hint="eastAsia"/>
          <w:b/>
          <w:bCs/>
          <w:szCs w:val="21"/>
        </w:rPr>
        <w:t>（一）</w:t>
      </w:r>
      <w:r w:rsidRPr="00082553">
        <w:rPr>
          <w:rFonts w:ascii="宋体" w:hAnsi="宋体" w:cs="Arial"/>
          <w:b/>
          <w:bCs/>
          <w:szCs w:val="21"/>
        </w:rPr>
        <w:t>投资目标</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本基金通过对多种投资策略的有机结合，在严格控制风险的基础上，力求取得超越基金业绩比较基准的收益。</w:t>
      </w:r>
    </w:p>
    <w:p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（二）</w:t>
      </w:r>
      <w:r w:rsidRPr="00082553">
        <w:rPr>
          <w:rFonts w:ascii="宋体" w:hAnsi="宋体" w:cs="Arial"/>
          <w:b/>
          <w:bCs/>
          <w:szCs w:val="21"/>
        </w:rPr>
        <w:t>投资范围</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082553">
        <w:rPr>
          <w:rFonts w:ascii="宋体" w:hAnsi="宋体" w:hint="eastAsia"/>
          <w:bCs/>
          <w:szCs w:val="21"/>
        </w:rPr>
        <w:t>券</w:t>
      </w:r>
      <w:proofErr w:type="gramEnd"/>
      <w:r w:rsidRPr="00082553">
        <w:rPr>
          <w:rFonts w:ascii="宋体" w:hAnsi="宋体" w:hint="eastAsia"/>
          <w:bCs/>
          <w:szCs w:val="21"/>
        </w:rPr>
        <w:t>、超短期融资</w:t>
      </w:r>
      <w:proofErr w:type="gramStart"/>
      <w:r w:rsidRPr="00082553">
        <w:rPr>
          <w:rFonts w:ascii="宋体" w:hAnsi="宋体" w:hint="eastAsia"/>
          <w:bCs/>
          <w:szCs w:val="21"/>
        </w:rPr>
        <w:t>券</w:t>
      </w:r>
      <w:proofErr w:type="gramEnd"/>
      <w:r w:rsidRPr="00082553">
        <w:rPr>
          <w:rFonts w:ascii="宋体" w:hAnsi="宋体" w:hint="eastAsia"/>
          <w:bCs/>
          <w:szCs w:val="21"/>
        </w:rPr>
        <w:t>、政府支持机构债、地方政府债、公开发行的次级债、可转换债券、可交换债券、中小企业私募</w:t>
      </w:r>
      <w:proofErr w:type="gramStart"/>
      <w:r w:rsidRPr="00082553">
        <w:rPr>
          <w:rFonts w:ascii="宋体" w:hAnsi="宋体" w:hint="eastAsia"/>
          <w:bCs/>
          <w:szCs w:val="21"/>
        </w:rPr>
        <w:t>债及其</w:t>
      </w:r>
      <w:proofErr w:type="gramEnd"/>
      <w:r w:rsidRPr="00082553">
        <w:rPr>
          <w:rFonts w:ascii="宋体" w:hAnsi="宋体" w:hint="eastAsia"/>
          <w:bCs/>
          <w:szCs w:val="21"/>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如果法律法规或中国证监会变更投资品种的投资比例限制，基金管理人在履行适当程序后，可以调整上述投资品种的投资比例。</w:t>
      </w:r>
    </w:p>
    <w:p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（三）</w:t>
      </w:r>
      <w:r w:rsidRPr="00082553">
        <w:rPr>
          <w:rFonts w:ascii="宋体" w:hAnsi="宋体" w:cs="Arial"/>
          <w:b/>
          <w:bCs/>
          <w:szCs w:val="21"/>
        </w:rPr>
        <w:t>投资策略</w:t>
      </w:r>
    </w:p>
    <w:p w:rsidR="00CC35A4" w:rsidRPr="00082553" w:rsidRDefault="00CC35A4" w:rsidP="00CC35A4">
      <w:pPr>
        <w:adjustRightInd w:val="0"/>
        <w:snapToGrid w:val="0"/>
        <w:spacing w:line="360" w:lineRule="auto"/>
        <w:ind w:firstLineChars="200" w:firstLine="420"/>
        <w:rPr>
          <w:rFonts w:ascii="宋体" w:hAnsi="宋体" w:cs="Arial"/>
          <w:kern w:val="0"/>
          <w:szCs w:val="21"/>
        </w:rPr>
      </w:pPr>
      <w:bookmarkStart w:id="26" w:name="_Toc148867251"/>
      <w:bookmarkStart w:id="27" w:name="_Toc149105517"/>
      <w:bookmarkStart w:id="28" w:name="_Toc212891567"/>
      <w:r w:rsidRPr="00082553">
        <w:rPr>
          <w:rFonts w:ascii="宋体" w:hAnsi="宋体" w:cs="Arial" w:hint="eastAsia"/>
          <w:kern w:val="0"/>
          <w:szCs w:val="21"/>
        </w:rPr>
        <w:t>1、资产配置策略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lastRenderedPageBreak/>
        <w:t>本基金将通过跟踪</w:t>
      </w:r>
      <w:proofErr w:type="gramStart"/>
      <w:r w:rsidRPr="00082553">
        <w:rPr>
          <w:rFonts w:ascii="宋体" w:hAnsi="宋体" w:hint="eastAsia"/>
          <w:bCs/>
          <w:szCs w:val="21"/>
        </w:rPr>
        <w:t>考量</w:t>
      </w:r>
      <w:proofErr w:type="gramEnd"/>
      <w:r w:rsidRPr="00082553">
        <w:rPr>
          <w:rFonts w:ascii="宋体" w:hAnsi="宋体" w:hint="eastAsia"/>
          <w:bCs/>
          <w:szCs w:val="21"/>
        </w:rPr>
        <w:t>通常的宏观经济变量（包括GDP增长率、CPI走势、M2的绝对水平和增长率、利率水平与走势等）以及各项国家政策（包括财政、税收、货币、汇率政策等），并</w:t>
      </w:r>
      <w:proofErr w:type="gramStart"/>
      <w:r w:rsidRPr="00082553">
        <w:rPr>
          <w:rFonts w:ascii="宋体" w:hAnsi="宋体" w:hint="eastAsia"/>
          <w:bCs/>
          <w:szCs w:val="21"/>
        </w:rPr>
        <w:t>结合美</w:t>
      </w:r>
      <w:proofErr w:type="gramEnd"/>
      <w:r w:rsidRPr="00082553">
        <w:rPr>
          <w:rFonts w:ascii="宋体" w:hAnsi="宋体" w:hint="eastAsia"/>
          <w:bCs/>
          <w:szCs w:val="21"/>
        </w:rPr>
        <w:t>林时钟等科学严谨的资产配置模型，动态评估不同资产大类在不同时期的投资价值及其风险收益特征，追求股票、债券和货币等大类资产的灵活配置和稳健收益。</w:t>
      </w:r>
    </w:p>
    <w:p w:rsidR="00CC35A4" w:rsidRPr="00082553" w:rsidRDefault="00CC35A4" w:rsidP="006E7E8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2、债券投资策略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本基金债券投资将</w:t>
      </w:r>
      <w:proofErr w:type="gramStart"/>
      <w:r w:rsidRPr="00082553">
        <w:rPr>
          <w:rFonts w:ascii="宋体" w:hAnsi="宋体" w:hint="eastAsia"/>
          <w:bCs/>
          <w:szCs w:val="21"/>
        </w:rPr>
        <w:t>采取久期策略</w:t>
      </w:r>
      <w:proofErr w:type="gramEnd"/>
      <w:r w:rsidRPr="00082553">
        <w:rPr>
          <w:rFonts w:ascii="宋体" w:hAnsi="宋体" w:hint="eastAsia"/>
          <w:bCs/>
          <w:szCs w:val="21"/>
        </w:rPr>
        <w:t>、收益率曲线策略、骑乘策略、息差策略、</w:t>
      </w:r>
      <w:proofErr w:type="gramStart"/>
      <w:r w:rsidRPr="00082553">
        <w:rPr>
          <w:rFonts w:ascii="宋体" w:hAnsi="宋体" w:hint="eastAsia"/>
          <w:bCs/>
          <w:szCs w:val="21"/>
        </w:rPr>
        <w:t>个券</w:t>
      </w:r>
      <w:proofErr w:type="gramEnd"/>
      <w:r w:rsidRPr="00082553">
        <w:rPr>
          <w:rFonts w:ascii="宋体" w:hAnsi="宋体" w:hint="eastAsia"/>
          <w:bCs/>
          <w:szCs w:val="21"/>
        </w:rPr>
        <w:t>选择策略、信用策略、中小企业私募债投资策略、可转债投资策略等积极投资策略，灵活地调整组合的券种搭配，精选个</w:t>
      </w:r>
      <w:proofErr w:type="gramStart"/>
      <w:r w:rsidRPr="00082553">
        <w:rPr>
          <w:rFonts w:ascii="宋体" w:hAnsi="宋体" w:hint="eastAsia"/>
          <w:bCs/>
          <w:szCs w:val="21"/>
        </w:rPr>
        <w:t>券</w:t>
      </w:r>
      <w:proofErr w:type="gramEnd"/>
      <w:r w:rsidRPr="00082553">
        <w:rPr>
          <w:rFonts w:ascii="宋体" w:hAnsi="宋体" w:hint="eastAsia"/>
          <w:bCs/>
          <w:szCs w:val="21"/>
        </w:rPr>
        <w:t>，力争实现投资组合的保值增值。</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（1）</w:t>
      </w:r>
      <w:proofErr w:type="gramStart"/>
      <w:r w:rsidRPr="00082553">
        <w:rPr>
          <w:rFonts w:ascii="宋体" w:hAnsi="宋体" w:cs="Arial" w:hint="eastAsia"/>
          <w:kern w:val="0"/>
          <w:szCs w:val="21"/>
        </w:rPr>
        <w:t>久期策略</w:t>
      </w:r>
      <w:proofErr w:type="gramEnd"/>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proofErr w:type="gramStart"/>
      <w:r w:rsidRPr="00082553">
        <w:rPr>
          <w:rFonts w:ascii="宋体" w:hAnsi="宋体" w:hint="eastAsia"/>
          <w:bCs/>
          <w:szCs w:val="21"/>
        </w:rPr>
        <w:t>久期管理</w:t>
      </w:r>
      <w:proofErr w:type="gramEnd"/>
      <w:r w:rsidRPr="00082553">
        <w:rPr>
          <w:rFonts w:ascii="宋体" w:hAnsi="宋体" w:hint="eastAsia"/>
          <w:bCs/>
          <w:szCs w:val="21"/>
        </w:rPr>
        <w:t>是债券投资的重要</w:t>
      </w:r>
      <w:proofErr w:type="gramStart"/>
      <w:r w:rsidRPr="00082553">
        <w:rPr>
          <w:rFonts w:ascii="宋体" w:hAnsi="宋体" w:hint="eastAsia"/>
          <w:bCs/>
          <w:szCs w:val="21"/>
        </w:rPr>
        <w:t>考量</w:t>
      </w:r>
      <w:proofErr w:type="gramEnd"/>
      <w:r w:rsidRPr="00082553">
        <w:rPr>
          <w:rFonts w:ascii="宋体" w:hAnsi="宋体" w:hint="eastAsia"/>
          <w:bCs/>
          <w:szCs w:val="21"/>
        </w:rPr>
        <w:t>因素，本基金将采用以“目标久期”为中心、 自上而下的</w:t>
      </w:r>
      <w:proofErr w:type="gramStart"/>
      <w:r w:rsidRPr="00082553">
        <w:rPr>
          <w:rFonts w:ascii="宋体" w:hAnsi="宋体" w:hint="eastAsia"/>
          <w:bCs/>
          <w:szCs w:val="21"/>
        </w:rPr>
        <w:t>组合久期管理</w:t>
      </w:r>
      <w:proofErr w:type="gramEnd"/>
      <w:r w:rsidRPr="00082553">
        <w:rPr>
          <w:rFonts w:ascii="宋体" w:hAnsi="宋体" w:hint="eastAsia"/>
          <w:bCs/>
          <w:szCs w:val="21"/>
        </w:rPr>
        <w:t>策略。</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（2）收益率曲线策略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收益率曲线的形状变化是判断市场整体走向的一个重要依据，本基金将据此调整组合长、中、短期债券的搭配，并进行动态调整。</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（3）骑乘策略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本基金将采用基于收益率曲线分析对债券组合进行适时调整的骑乘策略， 以达到增强组合的持有期收益的目的。</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（4）息差策略</w:t>
      </w:r>
    </w:p>
    <w:p w:rsidR="002071AC" w:rsidRDefault="00953DC4" w:rsidP="00082553">
      <w:pPr>
        <w:adjustRightInd w:val="0"/>
        <w:snapToGrid w:val="0"/>
        <w:spacing w:line="360" w:lineRule="auto"/>
        <w:ind w:firstLineChars="200" w:firstLine="420"/>
        <w:rPr>
          <w:rFonts w:ascii="宋体" w:hAnsi="宋体"/>
          <w:bCs/>
          <w:szCs w:val="21"/>
        </w:rPr>
      </w:pPr>
      <w:r w:rsidRPr="00082553">
        <w:rPr>
          <w:rFonts w:ascii="宋体" w:hAnsi="宋体" w:hint="eastAsia"/>
          <w:bCs/>
          <w:szCs w:val="21"/>
        </w:rPr>
        <w:t>本基金将</w:t>
      </w:r>
      <w:proofErr w:type="gramStart"/>
      <w:r w:rsidRPr="00082553">
        <w:rPr>
          <w:rFonts w:ascii="宋体" w:hAnsi="宋体" w:hint="eastAsia"/>
          <w:bCs/>
          <w:szCs w:val="21"/>
        </w:rPr>
        <w:t>采用息</w:t>
      </w:r>
      <w:proofErr w:type="gramEnd"/>
      <w:r w:rsidRPr="00082553">
        <w:rPr>
          <w:rFonts w:ascii="宋体" w:hAnsi="宋体" w:hint="eastAsia"/>
          <w:bCs/>
          <w:szCs w:val="21"/>
        </w:rPr>
        <w:t>差策略，以达到更好地利用杠杆放大债券投资的收益的目的。</w:t>
      </w:r>
    </w:p>
    <w:p w:rsidR="00BB6C08" w:rsidRPr="00082553" w:rsidRDefault="00BB6C08" w:rsidP="0008255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（5）</w:t>
      </w:r>
      <w:proofErr w:type="gramStart"/>
      <w:r w:rsidRPr="00082553">
        <w:rPr>
          <w:rFonts w:ascii="宋体" w:hAnsi="宋体" w:cs="Arial" w:hint="eastAsia"/>
          <w:kern w:val="0"/>
          <w:szCs w:val="21"/>
        </w:rPr>
        <w:t>个券</w:t>
      </w:r>
      <w:proofErr w:type="gramEnd"/>
      <w:r w:rsidRPr="00082553">
        <w:rPr>
          <w:rFonts w:ascii="宋体" w:hAnsi="宋体" w:cs="Arial" w:hint="eastAsia"/>
          <w:kern w:val="0"/>
          <w:szCs w:val="21"/>
        </w:rPr>
        <w:t>选择策略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本基金将根据单个债券到期收益率相对于市场收益率曲线的偏离程度，结合信用等级、流动性、选择权条款、税赋特点等因素，确定其投资价值，选择定价合理或价值被低估的债券进行投资。</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（6）信用策略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082553">
        <w:rPr>
          <w:rFonts w:ascii="宋体" w:hAnsi="宋体" w:hint="eastAsia"/>
          <w:bCs/>
          <w:szCs w:val="21"/>
        </w:rPr>
        <w:t>债进行</w:t>
      </w:r>
      <w:proofErr w:type="gramEnd"/>
      <w:r w:rsidRPr="00082553">
        <w:rPr>
          <w:rFonts w:ascii="宋体" w:hAnsi="宋体" w:hint="eastAsia"/>
          <w:bCs/>
          <w:szCs w:val="21"/>
        </w:rPr>
        <w:t>投资。</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（7）中小企业私募债券策略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082553">
        <w:rPr>
          <w:rFonts w:ascii="宋体" w:hAnsi="宋体" w:hint="eastAsia"/>
          <w:bCs/>
          <w:szCs w:val="21"/>
        </w:rPr>
        <w:t>规</w:t>
      </w:r>
      <w:proofErr w:type="gramEnd"/>
      <w:r w:rsidRPr="00082553">
        <w:rPr>
          <w:rFonts w:ascii="宋体" w:hAnsi="宋体" w:hint="eastAsia"/>
          <w:bCs/>
          <w:szCs w:val="21"/>
        </w:rPr>
        <w:t>合格地进行中小企业私募债券投资。本基金在投资过程中</w:t>
      </w:r>
      <w:r w:rsidRPr="00082553">
        <w:rPr>
          <w:rFonts w:ascii="宋体" w:hAnsi="宋体" w:hint="eastAsia"/>
          <w:bCs/>
          <w:szCs w:val="21"/>
        </w:rPr>
        <w:lastRenderedPageBreak/>
        <w:t>密切监控债券信用等级或发行人信用等级变化情况，尽力规避风险，并获取超额收益。</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（8）可转债投资策略</w:t>
      </w:r>
    </w:p>
    <w:p w:rsidR="00BB6C08" w:rsidRPr="00082553" w:rsidRDefault="00953DC4" w:rsidP="002071AC">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可转债兼具权益类证券与固定收益类证券的特性，本基金一方面将对发债主体的信用基本面进行深入挖掘以明确该可转债</w:t>
      </w:r>
      <w:proofErr w:type="gramStart"/>
      <w:r w:rsidRPr="00082553">
        <w:rPr>
          <w:rFonts w:ascii="宋体" w:hAnsi="宋体" w:hint="eastAsia"/>
          <w:bCs/>
          <w:szCs w:val="21"/>
        </w:rPr>
        <w:t>的债底保护</w:t>
      </w:r>
      <w:proofErr w:type="gramEnd"/>
      <w:r w:rsidRPr="00082553">
        <w:rPr>
          <w:rFonts w:ascii="宋体" w:hAnsi="宋体" w:hint="eastAsia"/>
          <w:bCs/>
          <w:szCs w:val="21"/>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082553">
        <w:rPr>
          <w:rFonts w:ascii="宋体" w:hAnsi="宋体" w:hint="eastAsia"/>
          <w:bCs/>
          <w:szCs w:val="21"/>
        </w:rPr>
        <w:t>债进行</w:t>
      </w:r>
      <w:proofErr w:type="gramEnd"/>
      <w:r w:rsidRPr="00082553">
        <w:rPr>
          <w:rFonts w:ascii="宋体" w:hAnsi="宋体" w:hint="eastAsia"/>
          <w:bCs/>
          <w:szCs w:val="21"/>
        </w:rPr>
        <w:t>投资。</w:t>
      </w:r>
    </w:p>
    <w:p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 xml:space="preserve">3、股票投资策略 </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082553">
        <w:rPr>
          <w:rFonts w:ascii="宋体" w:hAnsi="宋体" w:hint="eastAsia"/>
          <w:bCs/>
          <w:szCs w:val="21"/>
        </w:rPr>
        <w:t>研</w:t>
      </w:r>
      <w:proofErr w:type="gramEnd"/>
      <w:r w:rsidRPr="00082553">
        <w:rPr>
          <w:rFonts w:ascii="宋体" w:hAnsi="宋体" w:hint="eastAsia"/>
          <w:bCs/>
          <w:szCs w:val="21"/>
        </w:rPr>
        <w:t>判，力争实现组合的保值增值。</w:t>
      </w:r>
    </w:p>
    <w:p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（1）自上而下的行业遴选</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（2）自下而上的个股选择</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082553">
        <w:rPr>
          <w:rFonts w:ascii="宋体" w:hAnsi="宋体" w:hint="eastAsia"/>
          <w:bCs/>
          <w:szCs w:val="21"/>
        </w:rPr>
        <w:t>就核心</w:t>
      </w:r>
      <w:proofErr w:type="gramEnd"/>
      <w:r w:rsidRPr="00082553">
        <w:rPr>
          <w:rFonts w:ascii="宋体" w:hAnsi="宋体" w:hint="eastAsia"/>
          <w:bCs/>
          <w:szCs w:val="21"/>
        </w:rPr>
        <w:t>竞争力，分析公司的现有核心竞争力，并判断公司能否利用现有的资源、能力和定位取得可持续竞争优势。</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（3）综合</w:t>
      </w:r>
      <w:proofErr w:type="gramStart"/>
      <w:r w:rsidRPr="00082553">
        <w:rPr>
          <w:rFonts w:ascii="宋体" w:hAnsi="宋体" w:cs="Arial" w:hint="eastAsia"/>
          <w:kern w:val="0"/>
          <w:szCs w:val="21"/>
        </w:rPr>
        <w:t>研</w:t>
      </w:r>
      <w:proofErr w:type="gramEnd"/>
      <w:r w:rsidRPr="00082553">
        <w:rPr>
          <w:rFonts w:ascii="宋体" w:hAnsi="宋体" w:cs="Arial" w:hint="eastAsia"/>
          <w:kern w:val="0"/>
          <w:szCs w:val="21"/>
        </w:rPr>
        <w:t>判</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w:t>
      </w:r>
      <w:r w:rsidRPr="00082553">
        <w:rPr>
          <w:rFonts w:ascii="宋体" w:hAnsi="宋体" w:hint="eastAsia"/>
          <w:bCs/>
          <w:szCs w:val="21"/>
        </w:rPr>
        <w:lastRenderedPageBreak/>
        <w:t>就估值倍数而言，通过业内比较、历史比较和增长性分析，确定具有上升基础的股价水平。</w:t>
      </w:r>
    </w:p>
    <w:p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w:t>
      </w:r>
      <w:r w:rsidR="00956E7E" w:rsidRPr="00082553">
        <w:rPr>
          <w:rFonts w:ascii="宋体" w:hAnsi="宋体" w:cs="Arial" w:hint="eastAsia"/>
          <w:kern w:val="0"/>
          <w:szCs w:val="21"/>
        </w:rPr>
        <w:t>金融衍生</w:t>
      </w:r>
      <w:proofErr w:type="gramStart"/>
      <w:r w:rsidR="00956E7E" w:rsidRPr="00082553">
        <w:rPr>
          <w:rFonts w:ascii="宋体" w:hAnsi="宋体" w:cs="Arial" w:hint="eastAsia"/>
          <w:kern w:val="0"/>
          <w:szCs w:val="21"/>
        </w:rPr>
        <w:t>品投资</w:t>
      </w:r>
      <w:proofErr w:type="gramEnd"/>
      <w:r w:rsidR="00956E7E" w:rsidRPr="00082553">
        <w:rPr>
          <w:rFonts w:ascii="宋体" w:hAnsi="宋体" w:cs="Arial" w:hint="eastAsia"/>
          <w:kern w:val="0"/>
          <w:szCs w:val="21"/>
        </w:rPr>
        <w:t>策略</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1</w:t>
      </w:r>
      <w:r w:rsidRPr="00082553">
        <w:rPr>
          <w:rFonts w:ascii="宋体" w:hAnsi="宋体" w:cs="Arial" w:hint="eastAsia"/>
          <w:kern w:val="0"/>
          <w:szCs w:val="21"/>
        </w:rPr>
        <w:t>）权证投资策略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权证为本基金辅助性投资工具，投资原则为有利于基金资产增值、控制下跌风险。</w:t>
      </w:r>
      <w:r w:rsidRPr="00082553">
        <w:rPr>
          <w:rFonts w:ascii="宋体" w:hAnsi="宋体" w:hint="eastAsia"/>
          <w:bCs/>
          <w:szCs w:val="21"/>
        </w:rPr>
        <w:t>本基金在权证投资方面将以价值分析为基础，在采用数量化模型分析其合理定价的基础上，立足于无风险套利，力求稳健的投资收益。</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2</w:t>
      </w:r>
      <w:r w:rsidRPr="00082553">
        <w:rPr>
          <w:rFonts w:ascii="宋体" w:hAnsi="宋体" w:cs="Arial" w:hint="eastAsia"/>
          <w:kern w:val="0"/>
          <w:szCs w:val="21"/>
        </w:rPr>
        <w:t>）股指期货投资策略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（3）股票期权投资策略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本基金按照风险管理的原则，在严格控制风险的前提下，</w:t>
      </w:r>
      <w:r w:rsidRPr="00082553">
        <w:rPr>
          <w:rFonts w:ascii="宋体" w:hAnsi="宋体"/>
          <w:bCs/>
          <w:szCs w:val="21"/>
        </w:rPr>
        <w:t>以套期保值为目的，</w:t>
      </w:r>
      <w:r w:rsidRPr="00082553">
        <w:rPr>
          <w:rFonts w:ascii="宋体" w:hAnsi="宋体" w:hint="eastAsia"/>
          <w:bCs/>
          <w:szCs w:val="21"/>
        </w:rPr>
        <w:t>选择流动性好、交易活跃的股票期权合约进行投资。本基金基于证券市场的判断，结合期权定价模型，选择估值合理的股票期权合约。</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（4）国债期货投资策略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本基金投资国债期货，将根据风险管理的原则，</w:t>
      </w:r>
      <w:r w:rsidRPr="00082553">
        <w:rPr>
          <w:rFonts w:ascii="宋体" w:hAnsi="宋体"/>
          <w:bCs/>
          <w:szCs w:val="21"/>
        </w:rPr>
        <w:t>以套期保值为目的，</w:t>
      </w:r>
      <w:r w:rsidRPr="00082553">
        <w:rPr>
          <w:rFonts w:ascii="宋体" w:hAnsi="宋体" w:hint="eastAsia"/>
          <w:bCs/>
          <w:szCs w:val="21"/>
        </w:rPr>
        <w:t>充分考虑国债期货的流动性和风险收益特征，在风险可控的前提下，适度参与国债期货投资。</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未来，根据市场情况，基金可相应调整和更新相关投资策略，并在招募说明书更新中公告。</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5</w:t>
      </w:r>
      <w:r w:rsidR="00CC35A4" w:rsidRPr="00082553">
        <w:rPr>
          <w:rFonts w:ascii="宋体" w:hAnsi="宋体" w:cs="Arial" w:hint="eastAsia"/>
          <w:kern w:val="0"/>
          <w:szCs w:val="21"/>
        </w:rPr>
        <w:t>、</w:t>
      </w:r>
      <w:r w:rsidRPr="00082553">
        <w:rPr>
          <w:rFonts w:ascii="宋体" w:hAnsi="宋体" w:cs="Arial" w:hint="eastAsia"/>
          <w:kern w:val="0"/>
          <w:szCs w:val="21"/>
        </w:rPr>
        <w:t>资产支持证券投资策略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未来随着证券市场投资工具的发展和丰富，在符合有关法律法规规定的前提下，</w:t>
      </w:r>
      <w:r w:rsidRPr="00082553">
        <w:rPr>
          <w:rFonts w:ascii="宋体" w:hAnsi="宋体" w:hint="eastAsia"/>
          <w:bCs/>
          <w:szCs w:val="21"/>
        </w:rPr>
        <w:t>本</w:t>
      </w:r>
      <w:r w:rsidRPr="00082553">
        <w:rPr>
          <w:rFonts w:ascii="宋体" w:hAnsi="宋体"/>
          <w:bCs/>
          <w:szCs w:val="21"/>
        </w:rPr>
        <w:t>基金可相应调整和更新相关投资策略。</w:t>
      </w:r>
    </w:p>
    <w:bookmarkEnd w:id="26"/>
    <w:bookmarkEnd w:id="27"/>
    <w:bookmarkEnd w:id="28"/>
    <w:p w:rsidR="001050ED" w:rsidRPr="00082553" w:rsidRDefault="001050ED" w:rsidP="00312A0B">
      <w:pPr>
        <w:autoSpaceDE w:val="0"/>
        <w:autoSpaceDN w:val="0"/>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w:t>
      </w:r>
      <w:r w:rsidR="00CC35A4" w:rsidRPr="00082553">
        <w:rPr>
          <w:rFonts w:ascii="宋体" w:hAnsi="宋体" w:cs="Arial" w:hint="eastAsia"/>
          <w:b/>
          <w:bCs/>
          <w:szCs w:val="21"/>
        </w:rPr>
        <w:t>四</w:t>
      </w:r>
      <w:r w:rsidRPr="00082553">
        <w:rPr>
          <w:rFonts w:ascii="宋体" w:hAnsi="宋体" w:cs="Arial" w:hint="eastAsia"/>
          <w:b/>
          <w:bCs/>
          <w:szCs w:val="21"/>
        </w:rPr>
        <w:t>）</w:t>
      </w:r>
      <w:r w:rsidRPr="00082553">
        <w:rPr>
          <w:rFonts w:ascii="宋体" w:hAnsi="宋体" w:cs="Arial"/>
          <w:b/>
          <w:bCs/>
          <w:szCs w:val="21"/>
        </w:rPr>
        <w:t>投资限制</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1、组合限制</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基金的投资组合应遵循以下限制：</w:t>
      </w:r>
    </w:p>
    <w:p w:rsidR="00953DC4" w:rsidRPr="00082553" w:rsidRDefault="00953DC4" w:rsidP="00082553">
      <w:pPr>
        <w:spacing w:line="360" w:lineRule="auto"/>
        <w:ind w:firstLineChars="200" w:firstLine="420"/>
        <w:rPr>
          <w:rFonts w:ascii="宋体" w:hAnsi="宋体"/>
          <w:bCs/>
          <w:szCs w:val="21"/>
          <w:highlight w:val="yellow"/>
        </w:rPr>
      </w:pPr>
      <w:r w:rsidRPr="00082553">
        <w:rPr>
          <w:rFonts w:ascii="宋体" w:hAnsi="宋体"/>
          <w:bCs/>
          <w:szCs w:val="21"/>
        </w:rPr>
        <w:t>（1）</w:t>
      </w:r>
      <w:r w:rsidRPr="00082553">
        <w:rPr>
          <w:rFonts w:ascii="宋体" w:hAnsi="宋体" w:hint="eastAsia"/>
          <w:bCs/>
          <w:szCs w:val="21"/>
        </w:rPr>
        <w:t>股票投资占基金资产的比例为50%–95%；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lastRenderedPageBreak/>
        <w:t>（</w:t>
      </w:r>
      <w:r w:rsidRPr="00082553">
        <w:rPr>
          <w:rFonts w:ascii="宋体" w:hAnsi="宋体" w:hint="eastAsia"/>
          <w:bCs/>
          <w:szCs w:val="21"/>
        </w:rPr>
        <w:t>2</w:t>
      </w:r>
      <w:r w:rsidRPr="00082553">
        <w:rPr>
          <w:rFonts w:ascii="宋体" w:hAnsi="宋体"/>
          <w:bCs/>
          <w:szCs w:val="21"/>
        </w:rPr>
        <w:t>）</w:t>
      </w:r>
      <w:r w:rsidRPr="00082553">
        <w:rPr>
          <w:rFonts w:ascii="宋体" w:hAnsi="宋体" w:hint="eastAsia"/>
          <w:bCs/>
          <w:szCs w:val="21"/>
        </w:rPr>
        <w:t>每个交易日日终在扣除股指期货、国债期货合约需缴纳的交易保证金后，</w:t>
      </w:r>
      <w:r w:rsidRPr="00082553">
        <w:rPr>
          <w:rFonts w:ascii="宋体" w:hAnsi="宋体"/>
          <w:bCs/>
          <w:szCs w:val="21"/>
        </w:rPr>
        <w:t>保持不低于基金资产净值5％的现金或者到期日在一年以内的政府债券</w:t>
      </w:r>
      <w:r w:rsidRPr="00082553">
        <w:rPr>
          <w:rFonts w:ascii="宋体" w:hAnsi="宋体" w:hint="eastAsia"/>
          <w:bCs/>
          <w:szCs w:val="21"/>
        </w:rPr>
        <w:t>，其中现金不包括结算备付金、存出保证金、应收申购款等</w:t>
      </w:r>
      <w:r w:rsidRPr="00082553">
        <w:rPr>
          <w:rFonts w:ascii="宋体" w:hAnsi="宋体"/>
          <w:bCs/>
          <w:szCs w:val="21"/>
        </w:rPr>
        <w:t>；</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3</w:t>
      </w:r>
      <w:r w:rsidRPr="00082553">
        <w:rPr>
          <w:rFonts w:ascii="宋体" w:hAnsi="宋体"/>
          <w:bCs/>
          <w:szCs w:val="21"/>
        </w:rPr>
        <w:t>）</w:t>
      </w:r>
      <w:r w:rsidRPr="00082553">
        <w:rPr>
          <w:rStyle w:val="fontstyle01"/>
          <w:rFonts w:hint="default"/>
          <w:sz w:val="21"/>
          <w:szCs w:val="21"/>
        </w:rPr>
        <w:t>本基金持有一家公司发行的证券</w:t>
      </w:r>
      <w:r w:rsidRPr="00082553">
        <w:rPr>
          <w:rFonts w:ascii="宋体" w:hAnsi="宋体"/>
          <w:bCs/>
          <w:szCs w:val="21"/>
        </w:rPr>
        <w:t>，其市值不超过基金资产净值的10％；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4</w:t>
      </w:r>
      <w:r w:rsidRPr="00082553">
        <w:rPr>
          <w:rFonts w:ascii="宋体" w:hAnsi="宋体"/>
          <w:bCs/>
          <w:szCs w:val="21"/>
        </w:rPr>
        <w:t>）本基金管理人管理的全部基金持有一家公司发行的证券，不超过该证券的10％；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5</w:t>
      </w:r>
      <w:r w:rsidRPr="00082553">
        <w:rPr>
          <w:rFonts w:ascii="宋体" w:hAnsi="宋体"/>
          <w:bCs/>
          <w:szCs w:val="21"/>
        </w:rPr>
        <w:t>）本基金持有的全部权证，其市值不得超过基金资产净值的3％；</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6</w:t>
      </w:r>
      <w:r w:rsidRPr="00082553">
        <w:rPr>
          <w:rFonts w:ascii="宋体" w:hAnsi="宋体"/>
          <w:bCs/>
          <w:szCs w:val="21"/>
        </w:rPr>
        <w:t>）本基金管理人管理的全部基金持有的同一权证，不得超过该权证的</w:t>
      </w:r>
      <w:r w:rsidRPr="00082553">
        <w:rPr>
          <w:rFonts w:ascii="宋体" w:hAnsi="宋体" w:hint="eastAsia"/>
          <w:bCs/>
          <w:szCs w:val="21"/>
        </w:rPr>
        <w:t xml:space="preserve">   </w:t>
      </w:r>
      <w:r w:rsidRPr="00082553">
        <w:rPr>
          <w:rFonts w:ascii="宋体" w:hAnsi="宋体"/>
          <w:bCs/>
          <w:szCs w:val="21"/>
        </w:rPr>
        <w:t>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7</w:t>
      </w:r>
      <w:r w:rsidRPr="00082553">
        <w:rPr>
          <w:rFonts w:ascii="宋体" w:hAnsi="宋体"/>
          <w:bCs/>
          <w:szCs w:val="21"/>
        </w:rPr>
        <w:t>）本基金在任何交易日买入权证的总金额，不得超过上一交易日基金资产净值的0.5％；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8</w:t>
      </w:r>
      <w:r w:rsidRPr="00082553">
        <w:rPr>
          <w:rFonts w:ascii="宋体" w:hAnsi="宋体"/>
          <w:bCs/>
          <w:szCs w:val="21"/>
        </w:rPr>
        <w:t>）本基金投资于同一原始权益人的各类资产支持证券的比例，不得超过基金资产净值的10％；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9</w:t>
      </w:r>
      <w:r w:rsidRPr="00082553">
        <w:rPr>
          <w:rFonts w:ascii="宋体" w:hAnsi="宋体"/>
          <w:bCs/>
          <w:szCs w:val="21"/>
        </w:rPr>
        <w:t>）本基金持有的全部资产支持证券，其市值不得超过基金资产净值的20％</w:t>
      </w:r>
      <w:r w:rsidRPr="00082553">
        <w:rPr>
          <w:rFonts w:ascii="宋体" w:hAnsi="宋体" w:hint="eastAsia"/>
          <w:bCs/>
          <w:szCs w:val="21"/>
        </w:rPr>
        <w:t>，中国证监会规定的特殊品种除外</w:t>
      </w:r>
      <w:r w:rsidRPr="00082553">
        <w:rPr>
          <w:rFonts w:ascii="宋体" w:hAnsi="宋体"/>
          <w:bCs/>
          <w:szCs w:val="21"/>
        </w:rPr>
        <w:t>；</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10</w:t>
      </w:r>
      <w:r w:rsidRPr="00082553">
        <w:rPr>
          <w:rFonts w:ascii="宋体" w:hAnsi="宋体"/>
          <w:bCs/>
          <w:szCs w:val="21"/>
        </w:rPr>
        <w:t>）本基金持有的同一(指同一信用级别)资产支持证券的比例，不得超过该资产支持证券规模的10％；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1</w:t>
      </w:r>
      <w:r w:rsidRPr="00082553">
        <w:rPr>
          <w:rFonts w:ascii="宋体" w:hAnsi="宋体"/>
          <w:bCs/>
          <w:szCs w:val="21"/>
        </w:rPr>
        <w:t>）本基金管理人管理的全部基金投资于同一原始权益人的各类资产支持证券，不得超过其各类资产支持证券合计规模的10％；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2</w:t>
      </w:r>
      <w:r w:rsidRPr="00082553">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3</w:t>
      </w:r>
      <w:r w:rsidRPr="00082553">
        <w:rPr>
          <w:rFonts w:ascii="宋体" w:hAnsi="宋体"/>
          <w:bCs/>
          <w:szCs w:val="21"/>
        </w:rPr>
        <w:t>）基金财产参与股票发行申购，本基金所申报的金额不超过本基金的总资产，本基金所申报的股票数量不超过拟发行股票公司本次发行股票的总量；</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4</w:t>
      </w:r>
      <w:r w:rsidRPr="00082553">
        <w:rPr>
          <w:rFonts w:ascii="宋体" w:hAnsi="宋体"/>
          <w:bCs/>
          <w:szCs w:val="21"/>
        </w:rPr>
        <w:t>）本基金进入全国银行间同业市场进行债券回购的资金余额不得超过基金资产净值的40%</w:t>
      </w:r>
      <w:r w:rsidRPr="00082553">
        <w:rPr>
          <w:rFonts w:ascii="宋体" w:hAnsi="宋体" w:hint="eastAsia"/>
          <w:bCs/>
          <w:szCs w:val="21"/>
        </w:rPr>
        <w:t>，在全国银行间同业市场的债券回购最长期限为1年，债券回购到期后不得展期</w:t>
      </w:r>
      <w:r w:rsidRPr="00082553">
        <w:rPr>
          <w:rFonts w:ascii="宋体" w:hAnsi="宋体"/>
          <w:bCs/>
          <w:szCs w:val="21"/>
        </w:rPr>
        <w:t>；</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（15）本基金总资产不得超过基金净资产的 140%；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（16）本基金持有单只中小企业私募债券，其市值不得超过本基金资产净值的10%；基金投资于中小企业私募债的比例不超过基金资产净值的</w:t>
      </w:r>
      <w:r w:rsidRPr="00082553">
        <w:rPr>
          <w:rFonts w:ascii="宋体" w:hAnsi="宋体"/>
          <w:bCs/>
          <w:szCs w:val="21"/>
        </w:rPr>
        <w:t>20%</w:t>
      </w:r>
      <w:r w:rsidRPr="00082553">
        <w:rPr>
          <w:rFonts w:ascii="宋体" w:hAnsi="宋体" w:hint="eastAsia"/>
          <w:bCs/>
          <w:szCs w:val="21"/>
        </w:rPr>
        <w:t>；</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（17）本基金参与股指期货、国债期货交易，需遵守下列规定：</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1）本基金在任何交易日日终，持有的买入股指期货合约价值，不得超过基金资产净值的10%；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3）本基金在任何交易日日终，持有的卖出股指期货合约价值不得超过基金持有的股票总市值的20%；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4）本基金在任何交易日内交易（不包括平仓）的股指期货合约的成交金额不得超过上一交易日基金资产净值的20%；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5）本基金所持有的股票市值和买入、卖出股指期货合约价值，合计（轧差计算）应当符合基金合同关于股票投资比例的有关规定；</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6）本基金在任何交易日日终，持有的买入国债期货合约价值，不得超过基金资产净值的15%；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7）本基金在任何交易日日终，持有的卖出国债期货合约价值不得超过基金持有的债券总市值的30%；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8）本基金在任何交易日内交易（不包括平仓）的国债期货合约的成交金额不得超过上一交易日基金资产净值的30%；</w:t>
      </w:r>
    </w:p>
    <w:p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（18）本基金参与股票期权交易，需遵守下列投资比例限制：</w:t>
      </w:r>
    </w:p>
    <w:p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1）本基金因未平仓的期权合约支付和收取的权利金总额不得超过基金资产净值的10%；</w:t>
      </w:r>
    </w:p>
    <w:p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szCs w:val="21"/>
        </w:rPr>
        <w:t>3）本基金未平仓的期权合约面值不得超过基金资产净值的20%。其中，合约面值按照行权价乘以合约乘数计算；</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（20）本基金主动投资于流动性受限资产的市值合计不得超过基金资产净值的15%；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（21）本基金与私募类</w:t>
      </w:r>
      <w:proofErr w:type="gramStart"/>
      <w:r w:rsidRPr="00082553">
        <w:rPr>
          <w:rFonts w:ascii="宋体" w:hAnsi="宋体" w:hint="eastAsia"/>
          <w:bCs/>
          <w:szCs w:val="21"/>
        </w:rPr>
        <w:t>证券资管产品</w:t>
      </w:r>
      <w:proofErr w:type="gramEnd"/>
      <w:r w:rsidRPr="00082553">
        <w:rPr>
          <w:rFonts w:ascii="宋体" w:hAnsi="宋体" w:hint="eastAsia"/>
          <w:bCs/>
          <w:szCs w:val="21"/>
        </w:rPr>
        <w:t>及中国证监会认定的其他主体为交易对手开展逆回购交易的，可接受质押品的资质要求应当与基金合同约定的投资范围保持一致；</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lastRenderedPageBreak/>
        <w:t>（22）法律法规及中国证监会规定的和《基金合同》约定的其他投资限制。</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除上述第（2）、（1</w:t>
      </w:r>
      <w:r w:rsidRPr="00082553">
        <w:rPr>
          <w:rFonts w:ascii="宋体" w:hAnsi="宋体"/>
          <w:bCs/>
          <w:szCs w:val="21"/>
        </w:rPr>
        <w:t>2</w:t>
      </w:r>
      <w:r w:rsidRPr="00082553">
        <w:rPr>
          <w:rFonts w:ascii="宋体" w:hAnsi="宋体" w:hint="eastAsia"/>
          <w:bCs/>
          <w:szCs w:val="21"/>
        </w:rPr>
        <w:t>）、（</w:t>
      </w:r>
      <w:r w:rsidRPr="00082553">
        <w:rPr>
          <w:rFonts w:ascii="宋体" w:hAnsi="宋体"/>
          <w:bCs/>
          <w:szCs w:val="21"/>
        </w:rPr>
        <w:t>20</w:t>
      </w:r>
      <w:r w:rsidRPr="00082553">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法律法规或监管部门取消或调整上述限制，如适用于本基金，基金管理人在履行适当程序后，则本基金投资不再受相关限制或按调整后的规定执行。</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2、禁止行为</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为维护基金份额持有人的合法权益，基金财产不得用于下列投资或者活动：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（1）承销证券；</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（2）违反规定向他人贷款或者提供担保；</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（3）从事承担无限责任的投资；</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（4）买卖其他基金份额，但是中国证监会另有规定的除外；</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（5）向其基金管理人、基金托管人出资；</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（6）从事内幕交易、操纵证券交易价格及其他不正当的证券交易活动；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（7）法律、行政法规和中国证监会规定禁止的其他活动。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法律、行政法规或监管部门取消上述禁止性规定，如适用于本基金，则本基金投资不再受相关限制。</w:t>
      </w:r>
    </w:p>
    <w:p w:rsidR="001050ED" w:rsidRPr="00082553" w:rsidRDefault="001050ED" w:rsidP="00312A0B">
      <w:pPr>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五</w:t>
      </w:r>
      <w:r w:rsidRPr="00082553">
        <w:rPr>
          <w:rFonts w:ascii="宋体" w:hAnsi="宋体" w:cs="Arial" w:hint="eastAsia"/>
          <w:b/>
          <w:szCs w:val="21"/>
        </w:rPr>
        <w:t>）</w:t>
      </w:r>
      <w:r w:rsidRPr="00082553">
        <w:rPr>
          <w:rFonts w:ascii="宋体" w:hAnsi="宋体" w:cs="Arial"/>
          <w:b/>
          <w:szCs w:val="21"/>
        </w:rPr>
        <w:t>业绩比较基准</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本基金的业绩比较基准为：中</w:t>
      </w:r>
      <w:proofErr w:type="gramStart"/>
      <w:r w:rsidRPr="00082553">
        <w:rPr>
          <w:rFonts w:ascii="宋体" w:hAnsi="宋体" w:hint="eastAsia"/>
          <w:bCs/>
          <w:szCs w:val="21"/>
        </w:rPr>
        <w:t>证全债指数</w:t>
      </w:r>
      <w:proofErr w:type="gramEnd"/>
      <w:r w:rsidRPr="00082553">
        <w:rPr>
          <w:rFonts w:ascii="宋体" w:hAnsi="宋体" w:hint="eastAsia"/>
          <w:bCs/>
          <w:szCs w:val="21"/>
        </w:rPr>
        <w:t>收益率×30%+沪深300指数收益率×70%</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lastRenderedPageBreak/>
        <w:t>中</w:t>
      </w:r>
      <w:proofErr w:type="gramStart"/>
      <w:r w:rsidRPr="00082553">
        <w:rPr>
          <w:rFonts w:ascii="宋体" w:hAnsi="宋体" w:hint="eastAsia"/>
          <w:bCs/>
          <w:szCs w:val="21"/>
        </w:rPr>
        <w:t>证全债指数</w:t>
      </w:r>
      <w:proofErr w:type="gramEnd"/>
      <w:r w:rsidRPr="00082553">
        <w:rPr>
          <w:rFonts w:ascii="宋体" w:hAnsi="宋体" w:hint="eastAsia"/>
          <w:bCs/>
          <w:szCs w:val="21"/>
        </w:rPr>
        <w:t>的选样债券的信用类别覆盖全面，期限构成宽泛，适于</w:t>
      </w:r>
      <w:proofErr w:type="gramStart"/>
      <w:r w:rsidRPr="00082553">
        <w:rPr>
          <w:rFonts w:ascii="宋体" w:hAnsi="宋体" w:hint="eastAsia"/>
          <w:bCs/>
          <w:szCs w:val="21"/>
        </w:rPr>
        <w:t>做基金</w:t>
      </w:r>
      <w:proofErr w:type="gramEnd"/>
      <w:r w:rsidRPr="00082553">
        <w:rPr>
          <w:rFonts w:ascii="宋体" w:hAnsi="宋体" w:hint="eastAsia"/>
          <w:bCs/>
          <w:szCs w:val="21"/>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050ED" w:rsidRPr="00082553" w:rsidRDefault="001050ED" w:rsidP="00312A0B">
      <w:pPr>
        <w:widowControl/>
        <w:adjustRightInd w:val="0"/>
        <w:snapToGrid w:val="0"/>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六</w:t>
      </w:r>
      <w:r w:rsidRPr="00082553">
        <w:rPr>
          <w:rFonts w:ascii="宋体" w:hAnsi="宋体" w:cs="Arial" w:hint="eastAsia"/>
          <w:b/>
          <w:szCs w:val="21"/>
        </w:rPr>
        <w:t>）</w:t>
      </w:r>
      <w:r w:rsidRPr="00082553">
        <w:rPr>
          <w:rFonts w:ascii="宋体" w:hAnsi="宋体" w:cs="Arial"/>
          <w:b/>
          <w:szCs w:val="21"/>
        </w:rPr>
        <w:t>风险收益特征</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本基金属于混合型基金，其预期风险和预期收益高于货币市场基金、债券基金，低于股票型基金，属于证券投资基金中</w:t>
      </w:r>
      <w:proofErr w:type="gramStart"/>
      <w:r w:rsidRPr="00082553">
        <w:rPr>
          <w:rFonts w:ascii="宋体" w:hAnsi="宋体" w:hint="eastAsia"/>
          <w:bCs/>
          <w:szCs w:val="21"/>
        </w:rPr>
        <w:t>中</w:t>
      </w:r>
      <w:proofErr w:type="gramEnd"/>
      <w:r w:rsidRPr="00082553">
        <w:rPr>
          <w:rFonts w:ascii="宋体" w:hAnsi="宋体" w:hint="eastAsia"/>
          <w:bCs/>
          <w:szCs w:val="21"/>
        </w:rPr>
        <w:t>高风险、中高预期收益的品种。</w:t>
      </w:r>
    </w:p>
    <w:p w:rsidR="00FF7816" w:rsidRPr="00082553" w:rsidRDefault="001050ED" w:rsidP="00FF7816">
      <w:pPr>
        <w:autoSpaceDE w:val="0"/>
        <w:autoSpaceDN w:val="0"/>
        <w:spacing w:line="360" w:lineRule="auto"/>
        <w:ind w:firstLineChars="200" w:firstLine="422"/>
        <w:textAlignment w:val="bottom"/>
        <w:rPr>
          <w:rFonts w:ascii="宋体" w:hAnsi="宋体" w:cs="Arial"/>
          <w:b/>
          <w:kern w:val="0"/>
          <w:szCs w:val="21"/>
        </w:rPr>
      </w:pPr>
      <w:bookmarkStart w:id="29" w:name="_Toc79392634"/>
      <w:r w:rsidRPr="00082553">
        <w:rPr>
          <w:rFonts w:ascii="宋体" w:hAnsi="宋体" w:cs="Arial" w:hint="eastAsia"/>
          <w:b/>
          <w:bCs/>
          <w:szCs w:val="21"/>
        </w:rPr>
        <w:t>（</w:t>
      </w:r>
      <w:r w:rsidR="00321748" w:rsidRPr="00082553">
        <w:rPr>
          <w:rFonts w:ascii="宋体" w:hAnsi="宋体" w:cs="Arial" w:hint="eastAsia"/>
          <w:b/>
          <w:bCs/>
          <w:szCs w:val="21"/>
        </w:rPr>
        <w:t>七</w:t>
      </w:r>
      <w:r w:rsidRPr="00082553">
        <w:rPr>
          <w:rFonts w:ascii="宋体" w:hAnsi="宋体" w:cs="Arial" w:hint="eastAsia"/>
          <w:b/>
          <w:bCs/>
          <w:szCs w:val="21"/>
        </w:rPr>
        <w:t>）</w:t>
      </w:r>
      <w:r w:rsidR="00FF7816" w:rsidRPr="00082553">
        <w:rPr>
          <w:rFonts w:ascii="宋体" w:hAnsi="宋体" w:cs="Arial" w:hint="eastAsia"/>
          <w:b/>
          <w:kern w:val="0"/>
          <w:szCs w:val="21"/>
        </w:rPr>
        <w:t>基金管理人代表基金行使股东和债权人权利的处理原则及方法</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1、基金管理人按照国家有关规定代表基金独立行使股东和债权人权利，保护基金份额持有人的利益；</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2、不谋求对上市公司的控股，不参与所投资上市公司的经营管理；</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3、有利于基金财产的安全与增值；</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4、不通过关联交易为自身、雇员、授权代理人或任何存在利害关系的第三人牟取任何不当利益。</w:t>
      </w:r>
    </w:p>
    <w:p w:rsidR="00C708E4" w:rsidRPr="002071AC"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八</w:t>
      </w:r>
      <w:r w:rsidRPr="002071AC">
        <w:rPr>
          <w:rFonts w:ascii="宋体" w:hAnsi="宋体" w:hint="eastAsia"/>
          <w:b/>
          <w:bCs/>
          <w:szCs w:val="21"/>
        </w:rPr>
        <w:t>）</w:t>
      </w:r>
      <w:r w:rsidR="00C708E4" w:rsidRPr="002071AC">
        <w:rPr>
          <w:rFonts w:ascii="宋体" w:hAnsi="宋体" w:hint="eastAsia"/>
          <w:b/>
          <w:bCs/>
          <w:szCs w:val="21"/>
        </w:rPr>
        <w:t>基金投资组合报告</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基金管理人的董事会及董事保证本报告所载资料不存在虚假记载、误导性陈述或重大遗漏，并对其内容的真实性、准确性和完整性承担个别及连带责任。</w:t>
      </w:r>
      <w:r w:rsidRPr="00082553">
        <w:rPr>
          <w:rFonts w:ascii="宋体" w:hAnsi="宋体"/>
          <w:bCs/>
          <w:szCs w:val="21"/>
        </w:rPr>
        <w:t> </w:t>
      </w:r>
      <w:r w:rsidRPr="00082553">
        <w:rPr>
          <w:rFonts w:ascii="宋体" w:hAnsi="宋体"/>
          <w:bCs/>
          <w:szCs w:val="21"/>
        </w:rPr>
        <w:br/>
        <w:t> </w:t>
      </w:r>
      <w:r w:rsidRPr="00082553">
        <w:rPr>
          <w:rFonts w:ascii="宋体" w:hAnsi="宋体" w:hint="eastAsia"/>
          <w:bCs/>
          <w:szCs w:val="21"/>
        </w:rPr>
        <w:t xml:space="preserve">  基金托管人中国光大银行股份有限公司根据本基金合同规定，于</w:t>
      </w:r>
      <w:r w:rsidRPr="00082553">
        <w:rPr>
          <w:rFonts w:ascii="宋体" w:hAnsi="宋体"/>
          <w:bCs/>
          <w:szCs w:val="21"/>
        </w:rPr>
        <w:t>2018</w:t>
      </w:r>
      <w:r w:rsidRPr="00082553">
        <w:rPr>
          <w:rFonts w:ascii="宋体" w:hAnsi="宋体" w:hint="eastAsia"/>
          <w:bCs/>
          <w:szCs w:val="21"/>
        </w:rPr>
        <w:t>年</w:t>
      </w:r>
      <w:r w:rsidRPr="00082553">
        <w:rPr>
          <w:rFonts w:ascii="宋体" w:hAnsi="宋体"/>
          <w:bCs/>
          <w:szCs w:val="21"/>
        </w:rPr>
        <w:t>07</w:t>
      </w:r>
      <w:r w:rsidRPr="00082553">
        <w:rPr>
          <w:rFonts w:ascii="宋体" w:hAnsi="宋体" w:hint="eastAsia"/>
          <w:bCs/>
          <w:szCs w:val="21"/>
        </w:rPr>
        <w:t>月</w:t>
      </w:r>
      <w:r w:rsidRPr="00082553">
        <w:rPr>
          <w:rFonts w:ascii="宋体" w:hAnsi="宋体"/>
          <w:bCs/>
          <w:szCs w:val="21"/>
        </w:rPr>
        <w:t>19</w:t>
      </w:r>
      <w:r w:rsidRPr="00082553">
        <w:rPr>
          <w:rFonts w:ascii="宋体" w:hAnsi="宋体" w:hint="eastAsia"/>
          <w:bCs/>
          <w:szCs w:val="21"/>
        </w:rPr>
        <w:t>日复核了本报告中的财务指标、净值表现和投资组合报告等内容，保证复核内容不存在虚假记载、误导性陈述或者重大遗漏。</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本投资组合报告所载数据截至</w:t>
      </w:r>
      <w:r w:rsidRPr="00082553">
        <w:rPr>
          <w:rFonts w:ascii="宋体" w:hAnsi="宋体"/>
          <w:bCs/>
          <w:szCs w:val="21"/>
        </w:rPr>
        <w:t>2018年6月30日，本报告中所列财务数据未经审计。</w:t>
      </w:r>
    </w:p>
    <w:p w:rsidR="00C708E4" w:rsidRPr="00082553" w:rsidRDefault="00C708E4" w:rsidP="00C708E4">
      <w:pPr>
        <w:autoSpaceDE w:val="0"/>
        <w:autoSpaceDN w:val="0"/>
        <w:spacing w:line="360" w:lineRule="auto"/>
        <w:textAlignment w:val="bottom"/>
        <w:rPr>
          <w:rFonts w:ascii="宋体" w:hAnsi="宋体"/>
          <w:bCs/>
          <w:szCs w:val="21"/>
        </w:rPr>
      </w:pPr>
      <w:r w:rsidRPr="00082553">
        <w:rPr>
          <w:rFonts w:ascii="宋体" w:hAnsi="宋体" w:hint="eastAsia"/>
          <w:bCs/>
          <w:szCs w:val="21"/>
        </w:rPr>
        <w:t>1、报告期末基金资产组合情况</w:t>
      </w:r>
    </w:p>
    <w:tbl>
      <w:tblPr>
        <w:tblW w:w="8039" w:type="dxa"/>
        <w:tblInd w:w="108" w:type="dxa"/>
        <w:tblLook w:val="04A0" w:firstRow="1" w:lastRow="0" w:firstColumn="1" w:lastColumn="0" w:noHBand="0" w:noVBand="1"/>
      </w:tblPr>
      <w:tblGrid>
        <w:gridCol w:w="729"/>
        <w:gridCol w:w="2621"/>
        <w:gridCol w:w="2306"/>
        <w:gridCol w:w="2383"/>
      </w:tblGrid>
      <w:tr w:rsidR="00C708E4" w:rsidRPr="008E3064" w:rsidTr="002071AC">
        <w:trPr>
          <w:trHeight w:val="142"/>
        </w:trPr>
        <w:tc>
          <w:tcPr>
            <w:tcW w:w="72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序号</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项目</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金额(元)</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占基金总资产的比例（%）</w:t>
            </w:r>
          </w:p>
        </w:tc>
      </w:tr>
      <w:tr w:rsidR="00C708E4" w:rsidRPr="008E3064" w:rsidTr="002071AC">
        <w:trPr>
          <w:trHeight w:val="142"/>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权益投资</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60,292,962.93</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63.81</w:t>
            </w:r>
          </w:p>
        </w:tc>
      </w:tr>
      <w:tr w:rsidR="00C708E4" w:rsidRPr="008E3064" w:rsidTr="002071AC">
        <w:trPr>
          <w:trHeight w:val="48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Calibri"/>
                <w:kern w:val="0"/>
                <w:szCs w:val="21"/>
              </w:rPr>
            </w:pP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其中：股票</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60,292,962.93</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63.81</w:t>
            </w:r>
          </w:p>
        </w:tc>
      </w:tr>
      <w:tr w:rsidR="00C708E4" w:rsidRPr="008E3064" w:rsidTr="002071AC">
        <w:trPr>
          <w:trHeight w:val="504"/>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2</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基金投资</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48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3</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固定收益投资</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4,818,300.00</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5.10</w:t>
            </w:r>
          </w:p>
        </w:tc>
      </w:tr>
      <w:tr w:rsidR="00C708E4" w:rsidRPr="008E3064" w:rsidTr="002071AC">
        <w:trPr>
          <w:trHeight w:val="504"/>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Calibri"/>
                <w:kern w:val="0"/>
                <w:szCs w:val="21"/>
              </w:rPr>
            </w:pP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其中：债券</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4,818,300.00</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5.10</w:t>
            </w:r>
          </w:p>
        </w:tc>
      </w:tr>
      <w:tr w:rsidR="00C708E4" w:rsidRPr="008E3064" w:rsidTr="002071AC">
        <w:trPr>
          <w:trHeight w:val="48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Calibri"/>
                <w:kern w:val="0"/>
                <w:szCs w:val="21"/>
              </w:rPr>
            </w:pP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ind w:left="750"/>
              <w:rPr>
                <w:sz w:val="21"/>
                <w:szCs w:val="21"/>
              </w:rPr>
            </w:pPr>
            <w:r w:rsidRPr="00082553">
              <w:rPr>
                <w:rFonts w:hint="eastAsia"/>
                <w:sz w:val="21"/>
                <w:szCs w:val="21"/>
              </w:rPr>
              <w:t>资产支持证券</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04"/>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贵金属投资</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48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5</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金融衍生</w:t>
            </w:r>
            <w:proofErr w:type="gramStart"/>
            <w:r w:rsidRPr="00082553">
              <w:rPr>
                <w:rFonts w:hint="eastAsia"/>
                <w:sz w:val="21"/>
                <w:szCs w:val="21"/>
              </w:rPr>
              <w:t>品投资</w:t>
            </w:r>
            <w:proofErr w:type="gramEnd"/>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04"/>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6</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买入返售金融资产</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15,000,000.00</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15.88</w:t>
            </w:r>
          </w:p>
        </w:tc>
      </w:tr>
      <w:tr w:rsidR="00C708E4" w:rsidRPr="008E3064" w:rsidTr="002071AC">
        <w:trPr>
          <w:trHeight w:val="94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Calibri"/>
                <w:kern w:val="0"/>
                <w:szCs w:val="21"/>
              </w:rPr>
            </w:pP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其中：买断式回购的买入返售金融资产</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96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7</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银行存款和结算备付金合计</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4,561,399.33</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4.83</w:t>
            </w:r>
          </w:p>
        </w:tc>
      </w:tr>
      <w:tr w:rsidR="00C708E4" w:rsidRPr="008E3064" w:rsidTr="002071AC">
        <w:trPr>
          <w:trHeight w:val="504"/>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8</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其他资产</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9,813,202.00</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10.39</w:t>
            </w:r>
          </w:p>
        </w:tc>
      </w:tr>
      <w:tr w:rsidR="00C708E4" w:rsidRPr="008E3064" w:rsidTr="002071AC">
        <w:trPr>
          <w:trHeight w:val="48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9</w:t>
            </w:r>
          </w:p>
        </w:tc>
        <w:tc>
          <w:tcPr>
            <w:tcW w:w="26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合计</w:t>
            </w:r>
          </w:p>
        </w:tc>
        <w:tc>
          <w:tcPr>
            <w:tcW w:w="23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94,485,864.26</w:t>
            </w:r>
          </w:p>
        </w:tc>
        <w:tc>
          <w:tcPr>
            <w:tcW w:w="238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100.00</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2、报告期末按行业分类的股票投资组合</w:t>
      </w:r>
    </w:p>
    <w:p w:rsidR="00C708E4" w:rsidRPr="00082553" w:rsidRDefault="00C708E4" w:rsidP="00082553">
      <w:pPr>
        <w:autoSpaceDE w:val="0"/>
        <w:autoSpaceDN w:val="0"/>
        <w:spacing w:line="360" w:lineRule="auto"/>
        <w:ind w:firstLineChars="150" w:firstLine="315"/>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1）报告期末按行业分类的境内股票投资组合</w:t>
      </w:r>
    </w:p>
    <w:tbl>
      <w:tblPr>
        <w:tblW w:w="8084" w:type="dxa"/>
        <w:tblInd w:w="108" w:type="dxa"/>
        <w:tblLook w:val="04A0" w:firstRow="1" w:lastRow="0" w:firstColumn="1" w:lastColumn="0" w:noHBand="0" w:noVBand="1"/>
      </w:tblPr>
      <w:tblGrid>
        <w:gridCol w:w="740"/>
        <w:gridCol w:w="2427"/>
        <w:gridCol w:w="2427"/>
        <w:gridCol w:w="2490"/>
      </w:tblGrid>
      <w:tr w:rsidR="00C708E4" w:rsidRPr="008E3064" w:rsidTr="002071AC">
        <w:trPr>
          <w:trHeight w:val="155"/>
        </w:trPr>
        <w:tc>
          <w:tcPr>
            <w:tcW w:w="74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代码</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行业类别</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公允价值(元)</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占基金资产净值的比例（%）</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A</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农、林、牧、渔业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2,015,970.00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2.27</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B</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采矿业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9,075,300.00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10.20</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C</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制造业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29,110,883.93</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32.71</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D</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电力、热力、燃气及水生产和供应业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829,864.00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0.93</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E</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建筑业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F</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批发和零售业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G</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交通运输、仓储和邮政业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6,371,445.00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7.16</w:t>
            </w:r>
          </w:p>
        </w:tc>
      </w:tr>
      <w:tr w:rsidR="00C708E4" w:rsidRPr="008E3064" w:rsidTr="002071AC">
        <w:trPr>
          <w:trHeight w:val="155"/>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lastRenderedPageBreak/>
              <w:t>H</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住宿和餐饮业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369,600.00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0.42</w:t>
            </w:r>
          </w:p>
        </w:tc>
      </w:tr>
      <w:tr w:rsidR="00C708E4" w:rsidRPr="008E3064" w:rsidTr="002071AC">
        <w:trPr>
          <w:trHeight w:val="1050"/>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I</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信息传输、软件和信息技术服务业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6,822,200.00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7.67</w:t>
            </w:r>
          </w:p>
        </w:tc>
      </w:tr>
      <w:tr w:rsidR="00C708E4" w:rsidRPr="008E3064" w:rsidTr="002071AC">
        <w:trPr>
          <w:trHeight w:val="53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J</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金融业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1,650,700.00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1.85</w:t>
            </w:r>
          </w:p>
        </w:tc>
      </w:tr>
      <w:tr w:rsidR="00C708E4" w:rsidRPr="008E3064" w:rsidTr="002071AC">
        <w:trPr>
          <w:trHeight w:val="54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K</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房地产业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3,168,000.00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3.56</w:t>
            </w:r>
          </w:p>
        </w:tc>
      </w:tr>
      <w:tr w:rsidR="00C708E4" w:rsidRPr="008E3064" w:rsidTr="002071AC">
        <w:trPr>
          <w:trHeight w:val="53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L</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租赁和商务服务业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4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M</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科学研究和技术服务业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1034"/>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N</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水利、环境和公共设施管理业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879,000.00</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0.99</w:t>
            </w:r>
          </w:p>
        </w:tc>
      </w:tr>
      <w:tr w:rsidR="00C708E4" w:rsidRPr="008E3064" w:rsidTr="002071AC">
        <w:trPr>
          <w:trHeight w:val="1050"/>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O</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居民服务、修理和其他服务业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3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P</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教育</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4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Q</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卫生和社会工作</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3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R</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文化、体育和娱乐业</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49"/>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S</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综合</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53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Calibri"/>
                <w:kern w:val="0"/>
                <w:szCs w:val="21"/>
              </w:rPr>
            </w:pP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合计</w:t>
            </w:r>
          </w:p>
        </w:tc>
        <w:tc>
          <w:tcPr>
            <w:tcW w:w="24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60,292,962.93</w:t>
            </w:r>
          </w:p>
        </w:tc>
        <w:tc>
          <w:tcPr>
            <w:tcW w:w="249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67.75</w:t>
            </w:r>
          </w:p>
        </w:tc>
      </w:tr>
    </w:tbl>
    <w:p w:rsidR="00C708E4" w:rsidRPr="00082553" w:rsidRDefault="00C708E4" w:rsidP="00082553">
      <w:pPr>
        <w:autoSpaceDE w:val="0"/>
        <w:autoSpaceDN w:val="0"/>
        <w:spacing w:line="360" w:lineRule="auto"/>
        <w:ind w:firstLineChars="150" w:firstLine="315"/>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本基金报告期末未持有沪港通股票。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3、报告期末按公允价值占基金资产净值比例大小排序的前十名股票投资明细</w:t>
      </w:r>
    </w:p>
    <w:tbl>
      <w:tblPr>
        <w:tblW w:w="8123" w:type="dxa"/>
        <w:tblInd w:w="108" w:type="dxa"/>
        <w:tblLook w:val="04A0" w:firstRow="1" w:lastRow="0" w:firstColumn="1" w:lastColumn="0" w:noHBand="0" w:noVBand="1"/>
      </w:tblPr>
      <w:tblGrid>
        <w:gridCol w:w="727"/>
        <w:gridCol w:w="1386"/>
        <w:gridCol w:w="1386"/>
        <w:gridCol w:w="1484"/>
        <w:gridCol w:w="1705"/>
        <w:gridCol w:w="1435"/>
      </w:tblGrid>
      <w:tr w:rsidR="00C708E4" w:rsidRPr="008E3064" w:rsidTr="002071AC">
        <w:trPr>
          <w:trHeight w:val="655"/>
        </w:trPr>
        <w:tc>
          <w:tcPr>
            <w:tcW w:w="72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序号</w:t>
            </w:r>
          </w:p>
        </w:tc>
        <w:tc>
          <w:tcPr>
            <w:tcW w:w="138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股票代码</w:t>
            </w:r>
          </w:p>
        </w:tc>
        <w:tc>
          <w:tcPr>
            <w:tcW w:w="138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股票名称</w:t>
            </w:r>
          </w:p>
        </w:tc>
        <w:tc>
          <w:tcPr>
            <w:tcW w:w="148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数量(股)</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公允价值(元)</w:t>
            </w:r>
          </w:p>
        </w:tc>
        <w:tc>
          <w:tcPr>
            <w:tcW w:w="143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占基金资产净值比例(%)</w:t>
            </w:r>
          </w:p>
        </w:tc>
      </w:tr>
      <w:tr w:rsidR="00C708E4" w:rsidRPr="008E3064" w:rsidTr="002071AC">
        <w:trPr>
          <w:trHeight w:val="34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002624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完美世界</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220,000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6,822,200.00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7.67</w:t>
            </w:r>
          </w:p>
        </w:tc>
      </w:tr>
      <w:tr w:rsidR="00C708E4" w:rsidRPr="008E3064" w:rsidTr="002071AC">
        <w:trPr>
          <w:trHeight w:val="33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601899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紫金矿业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1,150,000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4,151,500.00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4.66</w:t>
            </w:r>
          </w:p>
        </w:tc>
      </w:tr>
      <w:tr w:rsidR="00C708E4" w:rsidRPr="008E3064" w:rsidTr="002071AC">
        <w:trPr>
          <w:trHeight w:val="34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601225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陕西煤业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390,000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3,205,800.00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3.60</w:t>
            </w:r>
          </w:p>
        </w:tc>
      </w:tr>
      <w:tr w:rsidR="00C708E4" w:rsidRPr="008E3064" w:rsidTr="002071AC">
        <w:trPr>
          <w:trHeight w:val="33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601588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北辰实业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900,000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3,168,000.00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3.56</w:t>
            </w:r>
          </w:p>
        </w:tc>
      </w:tr>
      <w:tr w:rsidR="00C708E4" w:rsidRPr="008E3064" w:rsidTr="002071AC">
        <w:trPr>
          <w:trHeight w:val="34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000089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深圳机场</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365,400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2,795,310.00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3.14</w:t>
            </w:r>
          </w:p>
        </w:tc>
      </w:tr>
      <w:tr w:rsidR="00C708E4" w:rsidRPr="008E3064" w:rsidTr="002071AC">
        <w:trPr>
          <w:trHeight w:val="33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lastRenderedPageBreak/>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000951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中国重汽</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200,000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2,658,000.00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2.99</w:t>
            </w:r>
          </w:p>
        </w:tc>
      </w:tr>
      <w:tr w:rsidR="00C708E4" w:rsidRPr="008E3064" w:rsidTr="002071AC">
        <w:trPr>
          <w:trHeight w:val="34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000960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锡业股份</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200,000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2,402,000.00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2.70</w:t>
            </w:r>
          </w:p>
        </w:tc>
      </w:tr>
      <w:tr w:rsidR="00C708E4" w:rsidRPr="008E3064" w:rsidTr="002071AC">
        <w:trPr>
          <w:trHeight w:val="33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600873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梅花生物</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503,276</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2,103,693.68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2.36</w:t>
            </w:r>
          </w:p>
        </w:tc>
      </w:tr>
      <w:tr w:rsidR="00C708E4" w:rsidRPr="008E3064" w:rsidTr="002071AC">
        <w:trPr>
          <w:trHeight w:val="34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600029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南方航空</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238,300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2,013,635.00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2.26</w:t>
            </w:r>
          </w:p>
        </w:tc>
      </w:tr>
      <w:tr w:rsidR="00C708E4" w:rsidRPr="008E3064" w:rsidTr="002071AC">
        <w:trPr>
          <w:trHeight w:val="33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600585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海螺水泥</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60,000</w:t>
            </w:r>
          </w:p>
        </w:tc>
        <w:tc>
          <w:tcPr>
            <w:tcW w:w="170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2,008,800.00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2.26</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4、报告期末按债券品种分类的债券投资组合</w:t>
      </w:r>
    </w:p>
    <w:tbl>
      <w:tblPr>
        <w:tblW w:w="0" w:type="auto"/>
        <w:tblInd w:w="108" w:type="dxa"/>
        <w:tblLook w:val="04A0" w:firstRow="1" w:lastRow="0" w:firstColumn="1" w:lastColumn="0" w:noHBand="0" w:noVBand="1"/>
      </w:tblPr>
      <w:tblGrid>
        <w:gridCol w:w="1134"/>
        <w:gridCol w:w="2680"/>
        <w:gridCol w:w="2110"/>
        <w:gridCol w:w="2144"/>
      </w:tblGrid>
      <w:tr w:rsidR="00C708E4" w:rsidRPr="00082553" w:rsidTr="002071AC">
        <w:trPr>
          <w:trHeight w:val="917"/>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序号</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债券品种</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公允价值(元)</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占基金资产净值比例（％）</w:t>
            </w:r>
          </w:p>
        </w:tc>
      </w:tr>
      <w:tr w:rsidR="00C708E4" w:rsidRPr="00082553" w:rsidTr="002071AC">
        <w:trPr>
          <w:trHeight w:val="487"/>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国家债券</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73"/>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2</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央行票据</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87"/>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3</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金融债券</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4,818,300.00</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5.41</w:t>
            </w:r>
          </w:p>
        </w:tc>
      </w:tr>
      <w:tr w:rsidR="00C708E4" w:rsidRPr="00082553" w:rsidTr="002071AC">
        <w:trPr>
          <w:trHeight w:val="473"/>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Calibri"/>
                <w:kern w:val="0"/>
                <w:szCs w:val="21"/>
              </w:rPr>
            </w:pP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其中：政策性金融债</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4,818,300.00</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5.41</w:t>
            </w:r>
          </w:p>
        </w:tc>
      </w:tr>
      <w:tr w:rsidR="00C708E4" w:rsidRPr="00082553" w:rsidTr="002071AC">
        <w:trPr>
          <w:trHeight w:val="487"/>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4</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企业债券</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73"/>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5</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企业短期融资</w:t>
            </w:r>
            <w:proofErr w:type="gramStart"/>
            <w:r w:rsidRPr="00082553">
              <w:rPr>
                <w:rFonts w:hint="eastAsia"/>
                <w:sz w:val="21"/>
                <w:szCs w:val="21"/>
              </w:rPr>
              <w:t>券</w:t>
            </w:r>
            <w:proofErr w:type="gramEnd"/>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87"/>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6</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中期票据</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73"/>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7</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可转债（可交换债）</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73"/>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8</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同业存单</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87"/>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9</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其他</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w:t>
            </w:r>
          </w:p>
        </w:tc>
      </w:tr>
      <w:tr w:rsidR="00C708E4" w:rsidRPr="00082553" w:rsidTr="002071AC">
        <w:trPr>
          <w:trHeight w:val="473"/>
        </w:trPr>
        <w:tc>
          <w:tcPr>
            <w:tcW w:w="113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10</w:t>
            </w:r>
          </w:p>
        </w:tc>
        <w:tc>
          <w:tcPr>
            <w:tcW w:w="268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合计</w:t>
            </w:r>
          </w:p>
        </w:tc>
        <w:tc>
          <w:tcPr>
            <w:tcW w:w="21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4,818,300.00</w:t>
            </w:r>
          </w:p>
        </w:tc>
        <w:tc>
          <w:tcPr>
            <w:tcW w:w="214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5.41</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5、报告期末按公允价值占基金资产净值比例大小排序的前五名债券投资明细</w:t>
      </w:r>
    </w:p>
    <w:tbl>
      <w:tblPr>
        <w:tblW w:w="8138" w:type="dxa"/>
        <w:tblInd w:w="108" w:type="dxa"/>
        <w:tblLook w:val="04A0" w:firstRow="1" w:lastRow="0" w:firstColumn="1" w:lastColumn="0" w:noHBand="0" w:noVBand="1"/>
      </w:tblPr>
      <w:tblGrid>
        <w:gridCol w:w="710"/>
        <w:gridCol w:w="1335"/>
        <w:gridCol w:w="1336"/>
        <w:gridCol w:w="1547"/>
        <w:gridCol w:w="1663"/>
        <w:gridCol w:w="1547"/>
      </w:tblGrid>
      <w:tr w:rsidR="00C708E4" w:rsidRPr="00082553" w:rsidTr="002071AC">
        <w:trPr>
          <w:trHeight w:val="927"/>
        </w:trPr>
        <w:tc>
          <w:tcPr>
            <w:tcW w:w="710"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序号</w:t>
            </w:r>
          </w:p>
        </w:tc>
        <w:tc>
          <w:tcPr>
            <w:tcW w:w="1335"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债券代码</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债券名称</w:t>
            </w:r>
          </w:p>
        </w:tc>
        <w:tc>
          <w:tcPr>
            <w:tcW w:w="154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数量（张）</w:t>
            </w:r>
          </w:p>
        </w:tc>
        <w:tc>
          <w:tcPr>
            <w:tcW w:w="166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公允价值(元)</w:t>
            </w:r>
          </w:p>
        </w:tc>
        <w:tc>
          <w:tcPr>
            <w:tcW w:w="154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占基金资产净值比例（％）</w:t>
            </w:r>
          </w:p>
        </w:tc>
      </w:tr>
      <w:tr w:rsidR="00C708E4" w:rsidRPr="00082553" w:rsidTr="002071AC">
        <w:trPr>
          <w:trHeight w:val="49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018005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国开1701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20,000</w:t>
            </w:r>
          </w:p>
        </w:tc>
        <w:tc>
          <w:tcPr>
            <w:tcW w:w="166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2,007,600.00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2.26</w:t>
            </w:r>
          </w:p>
        </w:tc>
      </w:tr>
      <w:tr w:rsidR="00C708E4" w:rsidRPr="00082553" w:rsidTr="002071AC">
        <w:trPr>
          <w:trHeight w:val="47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018002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国开1302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10,000</w:t>
            </w:r>
          </w:p>
        </w:tc>
        <w:tc>
          <w:tcPr>
            <w:tcW w:w="166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1,015,000.00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1.14</w:t>
            </w:r>
          </w:p>
        </w:tc>
      </w:tr>
      <w:tr w:rsidR="00C708E4" w:rsidRPr="00082553" w:rsidTr="002071AC">
        <w:trPr>
          <w:trHeight w:val="493"/>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108602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国开1704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10,000</w:t>
            </w:r>
          </w:p>
        </w:tc>
        <w:tc>
          <w:tcPr>
            <w:tcW w:w="166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998,500.00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1.12</w:t>
            </w:r>
          </w:p>
        </w:tc>
      </w:tr>
      <w:tr w:rsidR="00C708E4" w:rsidRPr="00082553" w:rsidTr="002071AC">
        <w:trPr>
          <w:trHeight w:val="47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018006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color w:val="000000"/>
                <w:sz w:val="21"/>
                <w:szCs w:val="21"/>
              </w:rPr>
              <w:t>国开1702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8,000</w:t>
            </w:r>
          </w:p>
        </w:tc>
        <w:tc>
          <w:tcPr>
            <w:tcW w:w="166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797,200.00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color w:val="000000"/>
                <w:sz w:val="21"/>
                <w:szCs w:val="21"/>
              </w:rPr>
              <w:t>0.90</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 xml:space="preserve">6、 </w:t>
      </w:r>
      <w:r w:rsidRPr="00082553">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C708E4">
            <w:pPr>
              <w:widowControl/>
              <w:jc w:val="left"/>
              <w:rPr>
                <w:rFonts w:ascii="宋体" w:hAnsi="宋体" w:cs="Calibri"/>
                <w:kern w:val="0"/>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lastRenderedPageBreak/>
        <w:t>本基金本报告期末未持有资产支持证券。</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本基金本报告期末未持有贵金属。</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本基金本报告期末未持有权证。</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9、报告期末本基金投资的股指期货交易情况说明</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本基金报告期末未投资股指期货。</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2）本基金投资股指期货的投资政策</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本基金报告期末未投资股指期货。</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10、报告期末本基金投资的国债期货交易情况说明</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1）本期国债期货投资政策</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本基金报告期末未投资国债期货。</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本期报告期末未投资国债期货。</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3）本期国债期货投资评价</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本基金报告期末未投资国债期货。</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 xml:space="preserve">11、投资组合报告附注 </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1）本基金本报告期投资的前十名证券的发行主体，本报告期没有出现被监管部门立案调查的情形，也没有出现在报告编制日前一年内受到公开谴责、处罚的情形。</w:t>
      </w:r>
    </w:p>
    <w:p w:rsidR="00C708E4" w:rsidRDefault="00C708E4" w:rsidP="002071AC">
      <w:pPr>
        <w:autoSpaceDE w:val="0"/>
        <w:autoSpaceDN w:val="0"/>
        <w:spacing w:line="360" w:lineRule="auto"/>
        <w:ind w:firstLineChars="200" w:firstLine="420"/>
        <w:textAlignment w:val="bottom"/>
        <w:rPr>
          <w:b/>
          <w:kern w:val="0"/>
          <w:sz w:val="30"/>
          <w:szCs w:val="30"/>
        </w:rPr>
      </w:pPr>
      <w:r w:rsidRPr="00082553">
        <w:rPr>
          <w:rFonts w:ascii="宋体" w:hAnsi="宋体" w:hint="eastAsia"/>
          <w:bCs/>
          <w:szCs w:val="21"/>
        </w:rPr>
        <w:t>（</w:t>
      </w:r>
      <w:r w:rsidRPr="00082553">
        <w:rPr>
          <w:rFonts w:ascii="宋体" w:hAnsi="宋体"/>
          <w:bCs/>
          <w:szCs w:val="21"/>
        </w:rPr>
        <w:t>2）本基金本报告期投资的前十名股票中没有超出基金合同规定备选股票库之外的股票。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3）其他资产构成</w:t>
      </w:r>
    </w:p>
    <w:tbl>
      <w:tblPr>
        <w:tblW w:w="0" w:type="auto"/>
        <w:tblInd w:w="108" w:type="dxa"/>
        <w:tblLook w:val="04A0" w:firstRow="1" w:lastRow="0" w:firstColumn="1" w:lastColumn="0" w:noHBand="0" w:noVBand="1"/>
      </w:tblPr>
      <w:tblGrid>
        <w:gridCol w:w="1181"/>
        <w:gridCol w:w="3369"/>
        <w:gridCol w:w="3699"/>
      </w:tblGrid>
      <w:tr w:rsidR="00C708E4" w:rsidRPr="00082553" w:rsidTr="002071AC">
        <w:trPr>
          <w:trHeight w:val="327"/>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序号</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名称</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金额(元)</w:t>
            </w:r>
          </w:p>
        </w:tc>
      </w:tr>
      <w:tr w:rsidR="00C708E4" w:rsidRPr="00082553" w:rsidTr="002071AC">
        <w:trPr>
          <w:trHeight w:val="327"/>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1</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存出保证金</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57,655.03</w:t>
            </w:r>
          </w:p>
        </w:tc>
      </w:tr>
      <w:tr w:rsidR="00C708E4" w:rsidRPr="00082553" w:rsidTr="002071AC">
        <w:trPr>
          <w:trHeight w:val="327"/>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2</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应收证券清算款</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9,699,816.82</w:t>
            </w:r>
          </w:p>
        </w:tc>
      </w:tr>
      <w:tr w:rsidR="00C708E4" w:rsidRPr="00082553" w:rsidTr="002071AC">
        <w:trPr>
          <w:trHeight w:val="327"/>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3</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应收股利</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082553" w:rsidTr="002071AC">
        <w:trPr>
          <w:trHeight w:val="327"/>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4</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应收利息</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55,730.15</w:t>
            </w:r>
          </w:p>
        </w:tc>
      </w:tr>
      <w:tr w:rsidR="00C708E4" w:rsidRPr="00082553" w:rsidTr="002071AC">
        <w:trPr>
          <w:trHeight w:val="327"/>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color w:val="000000"/>
                <w:sz w:val="21"/>
                <w:szCs w:val="21"/>
              </w:rPr>
              <w:t>5</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应收申购款</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1124"/>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lastRenderedPageBreak/>
              <w:t>6</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其他应收款</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1158"/>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7</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其他</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w:t>
            </w:r>
          </w:p>
        </w:tc>
      </w:tr>
      <w:tr w:rsidR="00C708E4" w:rsidRPr="008E3064" w:rsidTr="002071AC">
        <w:trPr>
          <w:trHeight w:val="1124"/>
        </w:trPr>
        <w:tc>
          <w:tcPr>
            <w:tcW w:w="118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8</w:t>
            </w:r>
          </w:p>
        </w:tc>
        <w:tc>
          <w:tcPr>
            <w:tcW w:w="336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合计</w:t>
            </w:r>
          </w:p>
        </w:tc>
        <w:tc>
          <w:tcPr>
            <w:tcW w:w="3699"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int="eastAsia"/>
                <w:sz w:val="21"/>
                <w:szCs w:val="21"/>
              </w:rPr>
              <w:t>9,813,202.00</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本基金本报告期末未持有处于转股的可换债券。</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5）报告</w:t>
      </w:r>
      <w:proofErr w:type="gramStart"/>
      <w:r w:rsidRPr="00082553">
        <w:rPr>
          <w:rFonts w:ascii="宋体" w:hAnsi="宋体" w:hint="eastAsia"/>
          <w:bCs/>
          <w:szCs w:val="21"/>
        </w:rPr>
        <w:t>期末前</w:t>
      </w:r>
      <w:proofErr w:type="gramEnd"/>
      <w:r w:rsidRPr="00082553">
        <w:rPr>
          <w:rFonts w:ascii="宋体" w:hAnsi="宋体"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C708E4" w:rsidRPr="00082553" w:rsidTr="00C708E4">
        <w:tc>
          <w:tcPr>
            <w:tcW w:w="0" w:type="auto"/>
            <w:vAlign w:val="center"/>
            <w:hideMark/>
          </w:tcPr>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本基金本报告</w:t>
      </w:r>
      <w:proofErr w:type="gramStart"/>
      <w:r w:rsidRPr="00082553">
        <w:rPr>
          <w:rFonts w:ascii="宋体" w:hAnsi="宋体" w:hint="eastAsia"/>
          <w:bCs/>
          <w:szCs w:val="21"/>
        </w:rPr>
        <w:t>期末前</w:t>
      </w:r>
      <w:proofErr w:type="gramEnd"/>
      <w:r w:rsidRPr="00082553">
        <w:rPr>
          <w:rFonts w:ascii="宋体" w:hAnsi="宋体" w:hint="eastAsia"/>
          <w:bCs/>
          <w:szCs w:val="21"/>
        </w:rPr>
        <w:t>十名股票中不存在流通受限股票。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6）投资组合报告附注的其他文字描述部分</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由于四舍五入原因，分项之和与合计可能有尾差。</w:t>
      </w:r>
    </w:p>
    <w:p w:rsidR="00C708E4" w:rsidRPr="002071AC"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九</w:t>
      </w:r>
      <w:r w:rsidRPr="002071AC">
        <w:rPr>
          <w:rFonts w:ascii="宋体" w:hAnsi="宋体" w:hint="eastAsia"/>
          <w:b/>
          <w:bCs/>
          <w:szCs w:val="21"/>
        </w:rPr>
        <w:t>）</w:t>
      </w:r>
      <w:r w:rsidR="00C708E4" w:rsidRPr="002071AC">
        <w:rPr>
          <w:rFonts w:ascii="宋体" w:hAnsi="宋体" w:hint="eastAsia"/>
          <w:b/>
          <w:bCs/>
          <w:szCs w:val="21"/>
        </w:rPr>
        <w:t>开放式基金份额变动</w:t>
      </w:r>
    </w:p>
    <w:p w:rsidR="00C708E4" w:rsidRPr="00082553" w:rsidRDefault="00C708E4" w:rsidP="00C708E4">
      <w:pPr>
        <w:widowControl/>
        <w:autoSpaceDE w:val="0"/>
        <w:autoSpaceDN w:val="0"/>
        <w:adjustRightInd w:val="0"/>
        <w:spacing w:line="360" w:lineRule="auto"/>
        <w:jc w:val="right"/>
        <w:rPr>
          <w:rFonts w:ascii="宋体" w:hAnsi="宋体" w:cs="宋体"/>
          <w:kern w:val="0"/>
          <w:szCs w:val="21"/>
        </w:rPr>
      </w:pPr>
      <w:r w:rsidRPr="00082553">
        <w:rPr>
          <w:rFonts w:ascii="宋体" w:hAnsi="宋体" w:cs="宋体" w:hint="eastAsia"/>
          <w:color w:val="000000"/>
          <w:kern w:val="0"/>
          <w:szCs w:val="21"/>
        </w:rPr>
        <w:t>单位：份</w:t>
      </w:r>
    </w:p>
    <w:tbl>
      <w:tblPr>
        <w:tblW w:w="8251" w:type="dxa"/>
        <w:tblInd w:w="108" w:type="dxa"/>
        <w:tblLook w:val="04A0" w:firstRow="1" w:lastRow="0" w:firstColumn="1" w:lastColumn="0" w:noHBand="0" w:noVBand="1"/>
      </w:tblPr>
      <w:tblGrid>
        <w:gridCol w:w="3300"/>
        <w:gridCol w:w="2476"/>
        <w:gridCol w:w="2475"/>
      </w:tblGrid>
      <w:tr w:rsidR="00C708E4" w:rsidRPr="008E3064" w:rsidTr="002071AC">
        <w:trPr>
          <w:trHeight w:val="478"/>
        </w:trPr>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cs="Calibri"/>
                <w:kern w:val="0"/>
                <w:szCs w:val="21"/>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富荣福康混合A</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富荣福康混合C</w:t>
            </w:r>
          </w:p>
        </w:tc>
      </w:tr>
      <w:tr w:rsidR="00C708E4" w:rsidRPr="008E3064" w:rsidTr="002071AC">
        <w:trPr>
          <w:trHeight w:val="492"/>
        </w:trPr>
        <w:tc>
          <w:tcPr>
            <w:tcW w:w="199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报告期期</w:t>
            </w:r>
            <w:proofErr w:type="gramStart"/>
            <w:r w:rsidRPr="00082553">
              <w:rPr>
                <w:rFonts w:hint="eastAsia"/>
                <w:sz w:val="21"/>
                <w:szCs w:val="21"/>
              </w:rPr>
              <w:t>初基金</w:t>
            </w:r>
            <w:proofErr w:type="gramEnd"/>
            <w:r w:rsidRPr="00082553">
              <w:rPr>
                <w:rFonts w:hint="eastAsia"/>
                <w:sz w:val="21"/>
                <w:szCs w:val="21"/>
              </w:rPr>
              <w:t>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44,335,867.73</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0.00</w:t>
            </w:r>
          </w:p>
        </w:tc>
      </w:tr>
      <w:tr w:rsidR="00C708E4" w:rsidRPr="008E3064" w:rsidTr="002071AC">
        <w:trPr>
          <w:trHeight w:val="478"/>
        </w:trPr>
        <w:tc>
          <w:tcPr>
            <w:tcW w:w="199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报告期期间基金总申购份额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31,686.76</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57,199,828.04</w:t>
            </w:r>
          </w:p>
        </w:tc>
      </w:tr>
      <w:tr w:rsidR="00C708E4" w:rsidRPr="008E3064" w:rsidTr="002071AC">
        <w:trPr>
          <w:trHeight w:val="492"/>
        </w:trPr>
        <w:tc>
          <w:tcPr>
            <w:tcW w:w="199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减：报告期期间基金总赎回份额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3,142,197.50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0.00</w:t>
            </w:r>
          </w:p>
        </w:tc>
      </w:tr>
      <w:tr w:rsidR="00C708E4" w:rsidRPr="008E3064" w:rsidTr="002071AC">
        <w:trPr>
          <w:trHeight w:val="942"/>
        </w:trPr>
        <w:tc>
          <w:tcPr>
            <w:tcW w:w="199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报告期期间基金拆分变动份额（份额减少以“-”填列）</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0.00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0.00</w:t>
            </w:r>
          </w:p>
        </w:tc>
      </w:tr>
      <w:tr w:rsidR="00C708E4" w:rsidRPr="008E3064" w:rsidTr="002071AC">
        <w:trPr>
          <w:trHeight w:val="478"/>
        </w:trPr>
        <w:tc>
          <w:tcPr>
            <w:tcW w:w="199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报告期期末基金份额总额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41,225,356.99</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57,199,828.04</w:t>
            </w:r>
          </w:p>
        </w:tc>
      </w:tr>
    </w:tbl>
    <w:p w:rsidR="00C708E4" w:rsidRPr="002071AC"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十</w:t>
      </w:r>
      <w:r w:rsidRPr="002071AC">
        <w:rPr>
          <w:rFonts w:ascii="宋体" w:hAnsi="宋体" w:hint="eastAsia"/>
          <w:b/>
          <w:bCs/>
          <w:szCs w:val="21"/>
        </w:rPr>
        <w:t>）</w:t>
      </w:r>
      <w:r w:rsidR="00C708E4" w:rsidRPr="002071AC">
        <w:rPr>
          <w:rFonts w:ascii="宋体" w:hAnsi="宋体" w:hint="eastAsia"/>
          <w:b/>
          <w:bCs/>
          <w:szCs w:val="21"/>
        </w:rPr>
        <w:t>基金管理人运用</w:t>
      </w:r>
      <w:proofErr w:type="gramStart"/>
      <w:r w:rsidR="00C708E4" w:rsidRPr="002071AC">
        <w:rPr>
          <w:rFonts w:ascii="宋体" w:hAnsi="宋体" w:hint="eastAsia"/>
          <w:b/>
          <w:bCs/>
          <w:szCs w:val="21"/>
        </w:rPr>
        <w:t>固有资金</w:t>
      </w:r>
      <w:proofErr w:type="gramEnd"/>
      <w:r w:rsidR="00C708E4" w:rsidRPr="002071AC">
        <w:rPr>
          <w:rFonts w:ascii="宋体" w:hAnsi="宋体" w:hint="eastAsia"/>
          <w:b/>
          <w:bCs/>
          <w:szCs w:val="21"/>
        </w:rPr>
        <w:t>投资本基金情况</w:t>
      </w:r>
    </w:p>
    <w:p w:rsidR="00C708E4" w:rsidRPr="00AB1EF5" w:rsidRDefault="00C708E4" w:rsidP="00AB1EF5">
      <w:pPr>
        <w:autoSpaceDE w:val="0"/>
        <w:autoSpaceDN w:val="0"/>
        <w:spacing w:line="360" w:lineRule="auto"/>
        <w:ind w:firstLineChars="200" w:firstLine="420"/>
        <w:textAlignment w:val="bottom"/>
        <w:rPr>
          <w:rFonts w:ascii="宋体" w:hAnsi="宋体"/>
          <w:bCs/>
          <w:szCs w:val="21"/>
        </w:rPr>
      </w:pPr>
      <w:r w:rsidRPr="00AB1EF5">
        <w:rPr>
          <w:rFonts w:ascii="宋体" w:hAnsi="宋体" w:hint="eastAsia"/>
          <w:bCs/>
          <w:szCs w:val="21"/>
        </w:rPr>
        <w:t>1、基金管理人运用</w:t>
      </w:r>
      <w:proofErr w:type="gramStart"/>
      <w:r w:rsidRPr="00AB1EF5">
        <w:rPr>
          <w:rFonts w:ascii="宋体" w:hAnsi="宋体" w:hint="eastAsia"/>
          <w:bCs/>
          <w:szCs w:val="21"/>
        </w:rPr>
        <w:t>固有资金</w:t>
      </w:r>
      <w:proofErr w:type="gramEnd"/>
      <w:r w:rsidRPr="00AB1EF5">
        <w:rPr>
          <w:rFonts w:ascii="宋体" w:hAnsi="宋体" w:hint="eastAsia"/>
          <w:bCs/>
          <w:szCs w:val="21"/>
        </w:rPr>
        <w:t>投资本基金交易明细（转型后）</w:t>
      </w:r>
    </w:p>
    <w:tbl>
      <w:tblPr>
        <w:tblW w:w="0" w:type="auto"/>
        <w:tblInd w:w="108" w:type="dxa"/>
        <w:tblLook w:val="04A0" w:firstRow="1" w:lastRow="0" w:firstColumn="1" w:lastColumn="0" w:noHBand="0" w:noVBand="1"/>
      </w:tblPr>
      <w:tblGrid>
        <w:gridCol w:w="222"/>
      </w:tblGrid>
      <w:tr w:rsidR="00C708E4" w:rsidRPr="00AB1EF5" w:rsidTr="00C708E4">
        <w:tc>
          <w:tcPr>
            <w:tcW w:w="0" w:type="auto"/>
            <w:vAlign w:val="center"/>
            <w:hideMark/>
          </w:tcPr>
          <w:p w:rsidR="00C708E4" w:rsidRPr="00AB1EF5" w:rsidRDefault="00C708E4" w:rsidP="00AB1EF5">
            <w:pPr>
              <w:autoSpaceDE w:val="0"/>
              <w:autoSpaceDN w:val="0"/>
              <w:spacing w:line="360" w:lineRule="auto"/>
              <w:ind w:firstLineChars="200" w:firstLine="420"/>
              <w:textAlignment w:val="bottom"/>
              <w:rPr>
                <w:rFonts w:ascii="宋体" w:hAnsi="宋体"/>
                <w:bCs/>
                <w:szCs w:val="21"/>
              </w:rPr>
            </w:pPr>
          </w:p>
        </w:tc>
      </w:tr>
    </w:tbl>
    <w:p w:rsidR="00C708E4" w:rsidRPr="00AB1EF5" w:rsidRDefault="00C708E4" w:rsidP="00AB1EF5">
      <w:pPr>
        <w:autoSpaceDE w:val="0"/>
        <w:autoSpaceDN w:val="0"/>
        <w:spacing w:line="360" w:lineRule="auto"/>
        <w:ind w:firstLineChars="200" w:firstLine="420"/>
        <w:textAlignment w:val="bottom"/>
        <w:rPr>
          <w:rFonts w:ascii="宋体" w:hAnsi="宋体"/>
          <w:bCs/>
          <w:szCs w:val="21"/>
        </w:rPr>
      </w:pPr>
      <w:r w:rsidRPr="00AB1EF5">
        <w:rPr>
          <w:rFonts w:ascii="宋体" w:hAnsi="宋体" w:hint="eastAsia"/>
          <w:bCs/>
          <w:szCs w:val="21"/>
        </w:rPr>
        <w:t>本报告期内基金管理人未运用</w:t>
      </w:r>
      <w:proofErr w:type="gramStart"/>
      <w:r w:rsidRPr="00AB1EF5">
        <w:rPr>
          <w:rFonts w:ascii="宋体" w:hAnsi="宋体" w:hint="eastAsia"/>
          <w:bCs/>
          <w:szCs w:val="21"/>
        </w:rPr>
        <w:t>固有资金</w:t>
      </w:r>
      <w:proofErr w:type="gramEnd"/>
      <w:r w:rsidRPr="00AB1EF5">
        <w:rPr>
          <w:rFonts w:ascii="宋体" w:hAnsi="宋体" w:hint="eastAsia"/>
          <w:bCs/>
          <w:szCs w:val="21"/>
        </w:rPr>
        <w:t>投资本基金。</w:t>
      </w:r>
    </w:p>
    <w:p w:rsidR="00C708E4" w:rsidRPr="002071AC"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十一</w:t>
      </w:r>
      <w:r w:rsidRPr="002071AC">
        <w:rPr>
          <w:rFonts w:ascii="宋体" w:hAnsi="宋体" w:hint="eastAsia"/>
          <w:b/>
          <w:bCs/>
          <w:szCs w:val="21"/>
        </w:rPr>
        <w:t>）</w:t>
      </w:r>
      <w:r w:rsidR="00C708E4" w:rsidRPr="002071AC">
        <w:rPr>
          <w:rFonts w:ascii="宋体" w:hAnsi="宋体" w:hint="eastAsia"/>
          <w:b/>
          <w:bCs/>
          <w:szCs w:val="21"/>
        </w:rPr>
        <w:t>影响投资者决策的其他重要信息</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 xml:space="preserve">1、 </w:t>
      </w:r>
      <w:r w:rsidRPr="00082553">
        <w:rPr>
          <w:rFonts w:ascii="宋体" w:hAnsi="宋体" w:hint="eastAsia"/>
          <w:bCs/>
          <w:szCs w:val="21"/>
        </w:rPr>
        <w:t>报告期内单一投资者持有基金份额比例达到或超过</w:t>
      </w:r>
      <w:r w:rsidRPr="00082553">
        <w:rPr>
          <w:rFonts w:ascii="宋体" w:hAnsi="宋体"/>
          <w:bCs/>
          <w:szCs w:val="21"/>
        </w:rPr>
        <w:t>20%的情况</w:t>
      </w:r>
    </w:p>
    <w:tbl>
      <w:tblPr>
        <w:tblW w:w="8238" w:type="dxa"/>
        <w:jc w:val="center"/>
        <w:tblInd w:w="-1227" w:type="dxa"/>
        <w:tblLook w:val="04A0" w:firstRow="1" w:lastRow="0" w:firstColumn="1" w:lastColumn="0" w:noHBand="0" w:noVBand="1"/>
      </w:tblPr>
      <w:tblGrid>
        <w:gridCol w:w="441"/>
        <w:gridCol w:w="441"/>
        <w:gridCol w:w="1100"/>
        <w:gridCol w:w="1064"/>
        <w:gridCol w:w="1582"/>
        <w:gridCol w:w="1129"/>
        <w:gridCol w:w="1469"/>
        <w:gridCol w:w="1012"/>
      </w:tblGrid>
      <w:tr w:rsidR="007878E7" w:rsidRPr="008E3064" w:rsidTr="007878E7">
        <w:trPr>
          <w:trHeight w:val="429"/>
          <w:jc w:val="center"/>
        </w:trPr>
        <w:tc>
          <w:tcPr>
            <w:tcW w:w="265" w:type="pct"/>
            <w:vMerge w:val="restar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2071AC">
            <w:pPr>
              <w:pStyle w:val="biaogecenter"/>
              <w:spacing w:line="360" w:lineRule="auto"/>
              <w:rPr>
                <w:sz w:val="21"/>
                <w:szCs w:val="21"/>
              </w:rPr>
            </w:pPr>
            <w:r w:rsidRPr="00082553">
              <w:rPr>
                <w:rFonts w:hAnsi="Calibri" w:hint="eastAsia"/>
                <w:color w:val="000000"/>
                <w:sz w:val="21"/>
                <w:szCs w:val="21"/>
              </w:rPr>
              <w:t>投</w:t>
            </w:r>
            <w:r w:rsidRPr="00082553">
              <w:rPr>
                <w:rFonts w:hAnsi="Calibri" w:hint="eastAsia"/>
                <w:color w:val="000000"/>
                <w:sz w:val="21"/>
                <w:szCs w:val="21"/>
              </w:rPr>
              <w:lastRenderedPageBreak/>
              <w:t>资者类别</w:t>
            </w:r>
          </w:p>
        </w:tc>
        <w:tc>
          <w:tcPr>
            <w:tcW w:w="3227" w:type="pct"/>
            <w:gridSpan w:val="5"/>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lastRenderedPageBreak/>
              <w:t>报告期内持有基金份额变化情况</w:t>
            </w:r>
          </w:p>
        </w:tc>
        <w:tc>
          <w:tcPr>
            <w:tcW w:w="1508" w:type="pct"/>
            <w:gridSpan w:val="2"/>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报告期末持有基金情况</w:t>
            </w:r>
          </w:p>
        </w:tc>
      </w:tr>
      <w:tr w:rsidR="007878E7" w:rsidRPr="008E3064" w:rsidTr="007878E7">
        <w:trPr>
          <w:trHeight w:val="125"/>
          <w:jc w:val="center"/>
        </w:trPr>
        <w:tc>
          <w:tcPr>
            <w:tcW w:w="265" w:type="pct"/>
            <w:vMerge/>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widowControl/>
              <w:jc w:val="left"/>
              <w:rPr>
                <w:rFonts w:ascii="宋体" w:hAnsi="宋体" w:cs="宋体"/>
                <w:kern w:val="0"/>
                <w:szCs w:val="21"/>
              </w:rPr>
            </w:pPr>
          </w:p>
        </w:tc>
        <w:tc>
          <w:tcPr>
            <w:tcW w:w="265"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序号</w:t>
            </w:r>
          </w:p>
        </w:tc>
        <w:tc>
          <w:tcPr>
            <w:tcW w:w="66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持有基金份额比例达到或者超过20%的时间区间</w:t>
            </w:r>
          </w:p>
        </w:tc>
        <w:tc>
          <w:tcPr>
            <w:tcW w:w="647"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期初份额</w:t>
            </w:r>
          </w:p>
        </w:tc>
        <w:tc>
          <w:tcPr>
            <w:tcW w:w="961"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申购份额</w:t>
            </w:r>
          </w:p>
        </w:tc>
        <w:tc>
          <w:tcPr>
            <w:tcW w:w="686"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赎回份额</w:t>
            </w:r>
          </w:p>
        </w:tc>
        <w:tc>
          <w:tcPr>
            <w:tcW w:w="892"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持有份额</w:t>
            </w:r>
          </w:p>
        </w:tc>
        <w:tc>
          <w:tcPr>
            <w:tcW w:w="617"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份额占比</w:t>
            </w:r>
          </w:p>
        </w:tc>
      </w:tr>
      <w:tr w:rsidR="007878E7" w:rsidRPr="008E3064" w:rsidTr="007878E7">
        <w:trPr>
          <w:trHeight w:val="846"/>
          <w:jc w:val="center"/>
        </w:trPr>
        <w:tc>
          <w:tcPr>
            <w:tcW w:w="265"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lastRenderedPageBreak/>
              <w:t>机构</w:t>
            </w:r>
          </w:p>
        </w:tc>
        <w:tc>
          <w:tcPr>
            <w:tcW w:w="265"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1</w:t>
            </w:r>
          </w:p>
        </w:tc>
        <w:tc>
          <w:tcPr>
            <w:tcW w:w="669"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20180529-20180630</w:t>
            </w:r>
          </w:p>
        </w:tc>
        <w:tc>
          <w:tcPr>
            <w:tcW w:w="647"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w:t>
            </w:r>
          </w:p>
        </w:tc>
        <w:tc>
          <w:tcPr>
            <w:tcW w:w="961"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50,060,639.54</w:t>
            </w:r>
          </w:p>
        </w:tc>
        <w:tc>
          <w:tcPr>
            <w:tcW w:w="686"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w:t>
            </w:r>
          </w:p>
        </w:tc>
        <w:tc>
          <w:tcPr>
            <w:tcW w:w="892"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50,060,639.54</w:t>
            </w:r>
          </w:p>
        </w:tc>
        <w:tc>
          <w:tcPr>
            <w:tcW w:w="617" w:type="pct"/>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right"/>
              <w:wordWrap w:val="0"/>
              <w:spacing w:line="360" w:lineRule="auto"/>
              <w:rPr>
                <w:sz w:val="21"/>
                <w:szCs w:val="21"/>
              </w:rPr>
            </w:pPr>
            <w:r w:rsidRPr="00082553">
              <w:rPr>
                <w:rFonts w:hAnsi="Calibri" w:hint="eastAsia"/>
                <w:color w:val="000000"/>
                <w:sz w:val="21"/>
                <w:szCs w:val="21"/>
              </w:rPr>
              <w:t>50.86%</w:t>
            </w:r>
          </w:p>
        </w:tc>
      </w:tr>
      <w:tr w:rsidR="00C708E4" w:rsidRPr="008E3064" w:rsidTr="002071AC">
        <w:trPr>
          <w:trHeight w:val="429"/>
          <w:jc w:val="center"/>
        </w:trPr>
        <w:tc>
          <w:tcPr>
            <w:tcW w:w="5000" w:type="pct"/>
            <w:gridSpan w:val="8"/>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Ansi="Calibri" w:hint="eastAsia"/>
                <w:color w:val="000000"/>
                <w:sz w:val="21"/>
                <w:szCs w:val="21"/>
              </w:rPr>
              <w:t>产品特有风险</w:t>
            </w:r>
          </w:p>
        </w:tc>
      </w:tr>
      <w:tr w:rsidR="00C708E4" w:rsidRPr="008E3064" w:rsidTr="002071AC">
        <w:trPr>
          <w:trHeight w:val="2847"/>
          <w:jc w:val="center"/>
        </w:trPr>
        <w:tc>
          <w:tcPr>
            <w:tcW w:w="5000" w:type="pct"/>
            <w:gridSpan w:val="8"/>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082553">
            <w:pPr>
              <w:autoSpaceDE w:val="0"/>
              <w:autoSpaceDN w:val="0"/>
              <w:spacing w:line="360" w:lineRule="auto"/>
              <w:ind w:firstLineChars="200" w:firstLine="420"/>
              <w:textAlignment w:val="bottom"/>
              <w:rPr>
                <w:szCs w:val="21"/>
              </w:rPr>
            </w:pPr>
            <w:r w:rsidRPr="00082553">
              <w:rPr>
                <w:rFonts w:asciiTheme="minorEastAsia" w:eastAsiaTheme="minorEastAsia" w:hAnsiTheme="minorEastAsia" w:hint="eastAsia"/>
                <w:bCs/>
                <w:szCs w:val="21"/>
              </w:rPr>
              <w:t>报告期内，本基金存在单一投资者持有份额比例达到或超过</w:t>
            </w:r>
            <w:r w:rsidRPr="00082553">
              <w:rPr>
                <w:rFonts w:asciiTheme="minorEastAsia" w:eastAsiaTheme="minorEastAsia" w:hAnsiTheme="minorEastAsia"/>
                <w:bCs/>
                <w:szCs w:val="21"/>
              </w:rPr>
              <w:t>20%的情况，由此可能导致的特有风险主要包括：当投资者持有份额</w:t>
            </w:r>
            <w:proofErr w:type="gramStart"/>
            <w:r w:rsidRPr="00082553">
              <w:rPr>
                <w:rFonts w:asciiTheme="minorEastAsia" w:eastAsiaTheme="minorEastAsia" w:hAnsiTheme="minorEastAsia" w:hint="eastAsia"/>
                <w:bCs/>
                <w:szCs w:val="21"/>
              </w:rPr>
              <w:t>占比较</w:t>
            </w:r>
            <w:proofErr w:type="gramEnd"/>
            <w:r w:rsidRPr="00082553">
              <w:rPr>
                <w:rFonts w:asciiTheme="minorEastAsia" w:eastAsiaTheme="minorEastAsia" w:hAnsiTheme="minorEastAsia" w:hint="eastAsia"/>
                <w:bCs/>
                <w:szCs w:val="21"/>
              </w:rPr>
              <w:t>为集中时，个别投资者的大额赎回可能会对基金资产运作及净值表现产生较大影响；极端情况下基金管理人可能无法以合理价格及时变</w:t>
            </w:r>
            <w:proofErr w:type="gramStart"/>
            <w:r w:rsidRPr="00082553">
              <w:rPr>
                <w:rFonts w:asciiTheme="minorEastAsia" w:eastAsiaTheme="minorEastAsia" w:hAnsiTheme="minorEastAsia" w:hint="eastAsia"/>
                <w:bCs/>
                <w:szCs w:val="21"/>
              </w:rPr>
              <w:t>现基金</w:t>
            </w:r>
            <w:proofErr w:type="gramEnd"/>
            <w:r w:rsidRPr="00082553">
              <w:rPr>
                <w:rFonts w:asciiTheme="minorEastAsia" w:eastAsiaTheme="minorEastAsia" w:hAnsiTheme="minorEastAsia" w:hint="eastAsia"/>
                <w:bCs/>
                <w:szCs w:val="21"/>
              </w:rPr>
              <w:t>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w:t>
            </w:r>
            <w:r w:rsidRPr="00082553">
              <w:rPr>
                <w:rFonts w:asciiTheme="minorEastAsia" w:eastAsiaTheme="minorEastAsia" w:hAnsiTheme="minorEastAsia"/>
                <w:bCs/>
                <w:szCs w:val="21"/>
              </w:rPr>
              <w:t>5000万元，基金还可能面临转换运作方式、与其他基金合并或者终止基金合同等情形；持有基金份额</w:t>
            </w:r>
            <w:proofErr w:type="gramStart"/>
            <w:r w:rsidRPr="00082553">
              <w:rPr>
                <w:rFonts w:asciiTheme="minorEastAsia" w:eastAsiaTheme="minorEastAsia" w:hAnsiTheme="minorEastAsia" w:hint="eastAsia"/>
                <w:bCs/>
                <w:szCs w:val="21"/>
              </w:rPr>
              <w:t>占比较</w:t>
            </w:r>
            <w:proofErr w:type="gramEnd"/>
            <w:r w:rsidRPr="00082553">
              <w:rPr>
                <w:rFonts w:asciiTheme="minorEastAsia" w:eastAsiaTheme="minorEastAsia" w:hAnsiTheme="minorEastAsia" w:hint="eastAsia"/>
                <w:bCs/>
                <w:szCs w:val="21"/>
              </w:rPr>
              <w:t>高的投资者在召开持有人大会并对审议事项进行投票表决时可能拥有较大话语权。</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2、影响投资者决策的其他重要信息</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本报告期内未出现影响投资者决策的其他重大信息。</w:t>
      </w:r>
    </w:p>
    <w:p w:rsidR="00C708E4" w:rsidRPr="002071AC"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十二</w:t>
      </w:r>
      <w:r w:rsidRPr="002071AC">
        <w:rPr>
          <w:rFonts w:ascii="宋体" w:hAnsi="宋体" w:hint="eastAsia"/>
          <w:b/>
          <w:bCs/>
          <w:szCs w:val="21"/>
        </w:rPr>
        <w:t>）</w:t>
      </w:r>
      <w:r w:rsidR="00C708E4" w:rsidRPr="002071AC">
        <w:rPr>
          <w:rFonts w:ascii="宋体" w:hAnsi="宋体" w:hint="eastAsia"/>
          <w:b/>
          <w:bCs/>
          <w:szCs w:val="21"/>
        </w:rPr>
        <w:t>基金净值表现</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 xml:space="preserve">1）富荣福康混合A（基金代码：005104） </w:t>
      </w:r>
    </w:p>
    <w:tbl>
      <w:tblPr>
        <w:tblW w:w="8153" w:type="dxa"/>
        <w:jc w:val="center"/>
        <w:tblLook w:val="04A0" w:firstRow="1" w:lastRow="0" w:firstColumn="1" w:lastColumn="0" w:noHBand="0" w:noVBand="1"/>
      </w:tblPr>
      <w:tblGrid>
        <w:gridCol w:w="1203"/>
        <w:gridCol w:w="1082"/>
        <w:gridCol w:w="806"/>
        <w:gridCol w:w="1108"/>
        <w:gridCol w:w="1318"/>
        <w:gridCol w:w="1318"/>
        <w:gridCol w:w="1318"/>
      </w:tblGrid>
      <w:tr w:rsidR="00C708E4" w:rsidRPr="00082553" w:rsidTr="002071AC">
        <w:trPr>
          <w:trHeight w:val="1317"/>
          <w:jc w:val="center"/>
        </w:trPr>
        <w:tc>
          <w:tcPr>
            <w:tcW w:w="1203"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阶段</w:t>
            </w:r>
          </w:p>
        </w:tc>
        <w:tc>
          <w:tcPr>
            <w:tcW w:w="1082"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净值增长率①</w:t>
            </w:r>
          </w:p>
        </w:tc>
        <w:tc>
          <w:tcPr>
            <w:tcW w:w="806"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净值增长率标</w:t>
            </w:r>
            <w:r w:rsidRPr="00082553">
              <w:rPr>
                <w:rFonts w:hint="eastAsia"/>
                <w:sz w:val="21"/>
                <w:szCs w:val="21"/>
              </w:rPr>
              <w:lastRenderedPageBreak/>
              <w:t>准差②</w:t>
            </w:r>
          </w:p>
        </w:tc>
        <w:tc>
          <w:tcPr>
            <w:tcW w:w="110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lastRenderedPageBreak/>
              <w:t>业绩比较基准收益率③</w:t>
            </w:r>
          </w:p>
        </w:tc>
        <w:tc>
          <w:tcPr>
            <w:tcW w:w="131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业绩比较基准收益率标准差④</w:t>
            </w:r>
          </w:p>
        </w:tc>
        <w:tc>
          <w:tcPr>
            <w:tcW w:w="131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①-③</w:t>
            </w:r>
          </w:p>
        </w:tc>
        <w:tc>
          <w:tcPr>
            <w:tcW w:w="131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②-④</w:t>
            </w:r>
          </w:p>
        </w:tc>
      </w:tr>
      <w:tr w:rsidR="00C708E4" w:rsidRPr="00082553" w:rsidTr="002071AC">
        <w:trPr>
          <w:trHeight w:val="892"/>
          <w:jc w:val="center"/>
        </w:trPr>
        <w:tc>
          <w:tcPr>
            <w:tcW w:w="1203" w:type="dxa"/>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color w:val="000000"/>
                <w:sz w:val="21"/>
                <w:szCs w:val="21"/>
              </w:rPr>
              <w:lastRenderedPageBreak/>
              <w:t>201</w:t>
            </w:r>
            <w:r w:rsidRPr="00082553">
              <w:rPr>
                <w:rFonts w:hint="eastAsia"/>
                <w:color w:val="000000"/>
                <w:sz w:val="21"/>
                <w:szCs w:val="21"/>
              </w:rPr>
              <w:t>8</w:t>
            </w:r>
            <w:r w:rsidRPr="00082553">
              <w:rPr>
                <w:color w:val="000000"/>
                <w:sz w:val="21"/>
                <w:szCs w:val="21"/>
              </w:rPr>
              <w:t>.</w:t>
            </w:r>
            <w:r w:rsidRPr="00082553">
              <w:rPr>
                <w:rFonts w:hint="eastAsia"/>
                <w:color w:val="000000"/>
                <w:sz w:val="21"/>
                <w:szCs w:val="21"/>
              </w:rPr>
              <w:t>4</w:t>
            </w:r>
            <w:r w:rsidRPr="00082553">
              <w:rPr>
                <w:color w:val="000000"/>
                <w:sz w:val="21"/>
                <w:szCs w:val="21"/>
              </w:rPr>
              <w:t>.</w:t>
            </w:r>
            <w:r w:rsidRPr="00082553">
              <w:rPr>
                <w:rFonts w:hint="eastAsia"/>
                <w:color w:val="000000"/>
                <w:sz w:val="21"/>
                <w:szCs w:val="21"/>
              </w:rPr>
              <w:t>1</w:t>
            </w:r>
            <w:r w:rsidRPr="00082553">
              <w:rPr>
                <w:color w:val="000000"/>
                <w:sz w:val="21"/>
                <w:szCs w:val="21"/>
              </w:rPr>
              <w:t>~201</w:t>
            </w:r>
            <w:r w:rsidRPr="00082553">
              <w:rPr>
                <w:rFonts w:hint="eastAsia"/>
                <w:color w:val="000000"/>
                <w:sz w:val="21"/>
                <w:szCs w:val="21"/>
              </w:rPr>
              <w:t>8</w:t>
            </w:r>
            <w:r w:rsidRPr="00082553">
              <w:rPr>
                <w:color w:val="000000"/>
                <w:sz w:val="21"/>
                <w:szCs w:val="21"/>
              </w:rPr>
              <w:t>.06.30</w:t>
            </w:r>
          </w:p>
        </w:tc>
        <w:tc>
          <w:tcPr>
            <w:tcW w:w="1082" w:type="dxa"/>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-10.36%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0.75%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-6.39%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0.79%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-3.97%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-0.04%</w:t>
            </w:r>
          </w:p>
        </w:tc>
      </w:tr>
      <w:tr w:rsidR="00C708E4" w:rsidRPr="00082553" w:rsidTr="002071AC">
        <w:trPr>
          <w:trHeight w:val="878"/>
          <w:jc w:val="center"/>
        </w:trPr>
        <w:tc>
          <w:tcPr>
            <w:tcW w:w="1203" w:type="dxa"/>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left"/>
              <w:wordWrap w:val="0"/>
              <w:spacing w:line="360" w:lineRule="auto"/>
              <w:rPr>
                <w:color w:val="000000"/>
                <w:sz w:val="21"/>
                <w:szCs w:val="21"/>
              </w:rPr>
            </w:pPr>
            <w:r w:rsidRPr="00082553">
              <w:rPr>
                <w:color w:val="000000"/>
                <w:sz w:val="21"/>
                <w:szCs w:val="21"/>
              </w:rPr>
              <w:t>201</w:t>
            </w:r>
            <w:r w:rsidRPr="00082553">
              <w:rPr>
                <w:rFonts w:hint="eastAsia"/>
                <w:color w:val="000000"/>
                <w:sz w:val="21"/>
                <w:szCs w:val="21"/>
              </w:rPr>
              <w:t>8</w:t>
            </w:r>
            <w:r w:rsidRPr="00082553">
              <w:rPr>
                <w:color w:val="000000"/>
                <w:sz w:val="21"/>
                <w:szCs w:val="21"/>
              </w:rPr>
              <w:t>.</w:t>
            </w:r>
            <w:r w:rsidRPr="00082553">
              <w:rPr>
                <w:rFonts w:hint="eastAsia"/>
                <w:color w:val="000000"/>
                <w:sz w:val="21"/>
                <w:szCs w:val="21"/>
              </w:rPr>
              <w:t>2</w:t>
            </w:r>
            <w:r w:rsidRPr="00082553">
              <w:rPr>
                <w:color w:val="000000"/>
                <w:sz w:val="21"/>
                <w:szCs w:val="21"/>
              </w:rPr>
              <w:t>.</w:t>
            </w:r>
            <w:r w:rsidRPr="00082553">
              <w:rPr>
                <w:rFonts w:hint="eastAsia"/>
                <w:color w:val="000000"/>
                <w:sz w:val="21"/>
                <w:szCs w:val="21"/>
              </w:rPr>
              <w:t>11</w:t>
            </w:r>
            <w:r w:rsidRPr="00082553">
              <w:rPr>
                <w:color w:val="000000"/>
                <w:sz w:val="21"/>
                <w:szCs w:val="21"/>
              </w:rPr>
              <w:t>~201</w:t>
            </w:r>
            <w:r w:rsidRPr="00082553">
              <w:rPr>
                <w:rFonts w:hint="eastAsia"/>
                <w:color w:val="000000"/>
                <w:sz w:val="21"/>
                <w:szCs w:val="21"/>
              </w:rPr>
              <w:t>8</w:t>
            </w:r>
            <w:r w:rsidRPr="00082553">
              <w:rPr>
                <w:color w:val="000000"/>
                <w:sz w:val="21"/>
                <w:szCs w:val="21"/>
              </w:rPr>
              <w:t>.06.30</w:t>
            </w:r>
          </w:p>
        </w:tc>
        <w:tc>
          <w:tcPr>
            <w:tcW w:w="1082" w:type="dxa"/>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-9.57%</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0.64%</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-4.92%</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0.78%</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-4.65%</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-0.14%</w:t>
            </w:r>
          </w:p>
        </w:tc>
      </w:tr>
    </w:tbl>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w:t>
      </w:r>
      <w:r w:rsidRPr="00082553">
        <w:rPr>
          <w:rFonts w:ascii="宋体" w:hAnsi="宋体"/>
          <w:bCs/>
          <w:szCs w:val="21"/>
        </w:rPr>
        <w:t xml:space="preserve">2）富荣福康混合C（基金代码：005105） </w:t>
      </w:r>
    </w:p>
    <w:p w:rsidR="00C708E4" w:rsidRPr="00082553" w:rsidRDefault="00C708E4" w:rsidP="00C708E4">
      <w:pPr>
        <w:pStyle w:val="biaogeleft"/>
        <w:spacing w:line="360" w:lineRule="auto"/>
        <w:rPr>
          <w:sz w:val="21"/>
          <w:szCs w:val="21"/>
        </w:rPr>
      </w:pPr>
    </w:p>
    <w:tbl>
      <w:tblPr>
        <w:tblW w:w="8274" w:type="dxa"/>
        <w:jc w:val="center"/>
        <w:tblLook w:val="04A0" w:firstRow="1" w:lastRow="0" w:firstColumn="1" w:lastColumn="0" w:noHBand="0" w:noVBand="1"/>
      </w:tblPr>
      <w:tblGrid>
        <w:gridCol w:w="1221"/>
        <w:gridCol w:w="1098"/>
        <w:gridCol w:w="817"/>
        <w:gridCol w:w="1124"/>
        <w:gridCol w:w="1338"/>
        <w:gridCol w:w="1338"/>
        <w:gridCol w:w="1338"/>
      </w:tblGrid>
      <w:tr w:rsidR="00C708E4" w:rsidRPr="00082553" w:rsidTr="002071AC">
        <w:trPr>
          <w:trHeight w:val="875"/>
          <w:jc w:val="center"/>
        </w:trPr>
        <w:tc>
          <w:tcPr>
            <w:tcW w:w="1221"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rFonts w:hint="eastAsia"/>
                <w:sz w:val="21"/>
                <w:szCs w:val="21"/>
              </w:rPr>
              <w:t>阶段</w:t>
            </w:r>
          </w:p>
        </w:tc>
        <w:tc>
          <w:tcPr>
            <w:tcW w:w="109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净值增长率①</w:t>
            </w:r>
          </w:p>
        </w:tc>
        <w:tc>
          <w:tcPr>
            <w:tcW w:w="817"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净值增长率标准差②</w:t>
            </w:r>
          </w:p>
        </w:tc>
        <w:tc>
          <w:tcPr>
            <w:tcW w:w="1124"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业绩比较基准收益率③</w:t>
            </w:r>
          </w:p>
        </w:tc>
        <w:tc>
          <w:tcPr>
            <w:tcW w:w="133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业绩比较基准收益率标准差④</w:t>
            </w:r>
          </w:p>
        </w:tc>
        <w:tc>
          <w:tcPr>
            <w:tcW w:w="133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①-③</w:t>
            </w:r>
          </w:p>
        </w:tc>
        <w:tc>
          <w:tcPr>
            <w:tcW w:w="1338" w:type="dxa"/>
            <w:tcBorders>
              <w:top w:val="single" w:sz="8" w:space="0" w:color="000000"/>
              <w:left w:val="single" w:sz="8" w:space="0" w:color="000000"/>
              <w:bottom w:val="single" w:sz="6"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②-④</w:t>
            </w:r>
          </w:p>
        </w:tc>
      </w:tr>
      <w:tr w:rsidR="00C708E4" w:rsidRPr="008E3064" w:rsidTr="002071AC">
        <w:trPr>
          <w:trHeight w:val="132"/>
          <w:jc w:val="center"/>
        </w:trPr>
        <w:tc>
          <w:tcPr>
            <w:tcW w:w="1221" w:type="dxa"/>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left"/>
              <w:wordWrap w:val="0"/>
              <w:spacing w:line="360" w:lineRule="auto"/>
              <w:rPr>
                <w:sz w:val="21"/>
                <w:szCs w:val="21"/>
              </w:rPr>
            </w:pPr>
            <w:r w:rsidRPr="00082553">
              <w:rPr>
                <w:color w:val="000000"/>
                <w:sz w:val="21"/>
                <w:szCs w:val="21"/>
              </w:rPr>
              <w:t>201</w:t>
            </w:r>
            <w:r w:rsidRPr="00082553">
              <w:rPr>
                <w:rFonts w:hint="eastAsia"/>
                <w:color w:val="000000"/>
                <w:sz w:val="21"/>
                <w:szCs w:val="21"/>
              </w:rPr>
              <w:t>8</w:t>
            </w:r>
            <w:r w:rsidRPr="00082553">
              <w:rPr>
                <w:color w:val="000000"/>
                <w:sz w:val="21"/>
                <w:szCs w:val="21"/>
              </w:rPr>
              <w:t>.</w:t>
            </w:r>
            <w:r w:rsidRPr="00082553">
              <w:rPr>
                <w:rFonts w:hint="eastAsia"/>
                <w:color w:val="000000"/>
                <w:sz w:val="21"/>
                <w:szCs w:val="21"/>
              </w:rPr>
              <w:t>4</w:t>
            </w:r>
            <w:r w:rsidRPr="00082553">
              <w:rPr>
                <w:color w:val="000000"/>
                <w:sz w:val="21"/>
                <w:szCs w:val="21"/>
              </w:rPr>
              <w:t>.</w:t>
            </w:r>
            <w:r w:rsidRPr="00082553">
              <w:rPr>
                <w:rFonts w:hint="eastAsia"/>
                <w:color w:val="000000"/>
                <w:sz w:val="21"/>
                <w:szCs w:val="21"/>
              </w:rPr>
              <w:t>1</w:t>
            </w:r>
            <w:r w:rsidRPr="00082553">
              <w:rPr>
                <w:color w:val="000000"/>
                <w:sz w:val="21"/>
                <w:szCs w:val="21"/>
              </w:rPr>
              <w:t>~201</w:t>
            </w:r>
            <w:r w:rsidRPr="00082553">
              <w:rPr>
                <w:rFonts w:hint="eastAsia"/>
                <w:color w:val="000000"/>
                <w:sz w:val="21"/>
                <w:szCs w:val="21"/>
              </w:rPr>
              <w:t>8</w:t>
            </w:r>
            <w:r w:rsidRPr="00082553">
              <w:rPr>
                <w:color w:val="000000"/>
                <w:sz w:val="21"/>
                <w:szCs w:val="21"/>
              </w:rPr>
              <w:t>.06.30</w:t>
            </w:r>
          </w:p>
        </w:tc>
        <w:tc>
          <w:tcPr>
            <w:tcW w:w="1098" w:type="dxa"/>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-10.38%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0.75%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-6.39%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0.79%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-3.99%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C708E4" w:rsidRPr="00082553" w:rsidRDefault="00C708E4" w:rsidP="00C708E4">
            <w:pPr>
              <w:pStyle w:val="biaogecenter"/>
              <w:wordWrap w:val="0"/>
              <w:spacing w:line="360" w:lineRule="auto"/>
              <w:rPr>
                <w:sz w:val="21"/>
                <w:szCs w:val="21"/>
              </w:rPr>
            </w:pPr>
            <w:r w:rsidRPr="00082553">
              <w:rPr>
                <w:rFonts w:hint="eastAsia"/>
                <w:sz w:val="21"/>
                <w:szCs w:val="21"/>
              </w:rPr>
              <w:t>-0.04%</w:t>
            </w:r>
          </w:p>
        </w:tc>
      </w:tr>
      <w:tr w:rsidR="00C708E4" w:rsidRPr="008E3064" w:rsidTr="002071AC">
        <w:trPr>
          <w:trHeight w:val="132"/>
          <w:jc w:val="center"/>
        </w:trPr>
        <w:tc>
          <w:tcPr>
            <w:tcW w:w="1221" w:type="dxa"/>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left"/>
              <w:wordWrap w:val="0"/>
              <w:spacing w:line="360" w:lineRule="auto"/>
              <w:rPr>
                <w:color w:val="000000"/>
                <w:sz w:val="21"/>
                <w:szCs w:val="21"/>
              </w:rPr>
            </w:pPr>
            <w:r w:rsidRPr="00082553">
              <w:rPr>
                <w:color w:val="000000"/>
                <w:sz w:val="21"/>
                <w:szCs w:val="21"/>
              </w:rPr>
              <w:t>201</w:t>
            </w:r>
            <w:r w:rsidRPr="00082553">
              <w:rPr>
                <w:rFonts w:hint="eastAsia"/>
                <w:color w:val="000000"/>
                <w:sz w:val="21"/>
                <w:szCs w:val="21"/>
              </w:rPr>
              <w:t>8</w:t>
            </w:r>
            <w:r w:rsidRPr="00082553">
              <w:rPr>
                <w:color w:val="000000"/>
                <w:sz w:val="21"/>
                <w:szCs w:val="21"/>
              </w:rPr>
              <w:t>.</w:t>
            </w:r>
            <w:r w:rsidRPr="00082553">
              <w:rPr>
                <w:rFonts w:hint="eastAsia"/>
                <w:color w:val="000000"/>
                <w:sz w:val="21"/>
                <w:szCs w:val="21"/>
              </w:rPr>
              <w:t>2</w:t>
            </w:r>
            <w:r w:rsidRPr="00082553">
              <w:rPr>
                <w:color w:val="000000"/>
                <w:sz w:val="21"/>
                <w:szCs w:val="21"/>
              </w:rPr>
              <w:t>.</w:t>
            </w:r>
            <w:r w:rsidRPr="00082553">
              <w:rPr>
                <w:rFonts w:hint="eastAsia"/>
                <w:color w:val="000000"/>
                <w:sz w:val="21"/>
                <w:szCs w:val="21"/>
              </w:rPr>
              <w:t>11</w:t>
            </w:r>
            <w:r w:rsidRPr="00082553">
              <w:rPr>
                <w:color w:val="000000"/>
                <w:sz w:val="21"/>
                <w:szCs w:val="21"/>
              </w:rPr>
              <w:t>~201</w:t>
            </w:r>
            <w:r w:rsidRPr="00082553">
              <w:rPr>
                <w:rFonts w:hint="eastAsia"/>
                <w:color w:val="000000"/>
                <w:sz w:val="21"/>
                <w:szCs w:val="21"/>
              </w:rPr>
              <w:t>8</w:t>
            </w:r>
            <w:r w:rsidRPr="00082553">
              <w:rPr>
                <w:color w:val="000000"/>
                <w:sz w:val="21"/>
                <w:szCs w:val="21"/>
              </w:rPr>
              <w:t>.06.30</w:t>
            </w:r>
          </w:p>
        </w:tc>
        <w:tc>
          <w:tcPr>
            <w:tcW w:w="1098" w:type="dxa"/>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-9.59%</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0.64%</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-4.92%</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0.78%</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-4.67%</w:t>
            </w:r>
          </w:p>
        </w:tc>
        <w:tc>
          <w:tcPr>
            <w:tcW w:w="0" w:type="auto"/>
            <w:tcBorders>
              <w:top w:val="single" w:sz="8" w:space="0" w:color="000000"/>
              <w:left w:val="single" w:sz="8" w:space="0" w:color="000000"/>
              <w:bottom w:val="single" w:sz="6" w:space="0" w:color="000000"/>
              <w:right w:val="single" w:sz="8" w:space="0" w:color="000000"/>
            </w:tcBorders>
            <w:vAlign w:val="center"/>
          </w:tcPr>
          <w:p w:rsidR="00C708E4" w:rsidRPr="00082553" w:rsidRDefault="00C708E4" w:rsidP="00C708E4">
            <w:pPr>
              <w:pStyle w:val="biaogecenter"/>
              <w:wordWrap w:val="0"/>
              <w:spacing w:line="360" w:lineRule="auto"/>
              <w:rPr>
                <w:sz w:val="21"/>
                <w:szCs w:val="21"/>
              </w:rPr>
            </w:pPr>
            <w:r w:rsidRPr="00082553">
              <w:rPr>
                <w:rFonts w:hint="eastAsia"/>
                <w:sz w:val="21"/>
                <w:szCs w:val="21"/>
              </w:rPr>
              <w:t>-0.14%</w:t>
            </w:r>
          </w:p>
        </w:tc>
      </w:tr>
    </w:tbl>
    <w:p w:rsidR="00C708E4" w:rsidRPr="00082553" w:rsidRDefault="00C708E4" w:rsidP="00082553">
      <w:pPr>
        <w:autoSpaceDE w:val="0"/>
        <w:autoSpaceDN w:val="0"/>
        <w:spacing w:line="360" w:lineRule="auto"/>
        <w:ind w:firstLineChars="200" w:firstLine="420"/>
        <w:textAlignment w:val="bottom"/>
        <w:rPr>
          <w:rFonts w:asciiTheme="minorEastAsia" w:hAnsiTheme="minorEastAsia"/>
          <w:bCs/>
          <w:szCs w:val="21"/>
        </w:rPr>
      </w:pPr>
      <w:r w:rsidRPr="00082553">
        <w:rPr>
          <w:rFonts w:asciiTheme="minorEastAsia" w:hAnsiTheme="minorEastAsia" w:hint="eastAsia"/>
          <w:bCs/>
          <w:szCs w:val="21"/>
        </w:rPr>
        <w:t>注：本基金的业绩比较基准为：中</w:t>
      </w:r>
      <w:proofErr w:type="gramStart"/>
      <w:r w:rsidRPr="00082553">
        <w:rPr>
          <w:rFonts w:asciiTheme="minorEastAsia" w:hAnsiTheme="minorEastAsia" w:hint="eastAsia"/>
          <w:bCs/>
          <w:szCs w:val="21"/>
        </w:rPr>
        <w:t>证全债指数</w:t>
      </w:r>
      <w:proofErr w:type="gramEnd"/>
      <w:r w:rsidRPr="00082553">
        <w:rPr>
          <w:rFonts w:asciiTheme="minorEastAsia" w:hAnsiTheme="minorEastAsia" w:hint="eastAsia"/>
          <w:bCs/>
          <w:szCs w:val="21"/>
        </w:rPr>
        <w:t>收益率×</w:t>
      </w:r>
      <w:r w:rsidRPr="00082553">
        <w:rPr>
          <w:rFonts w:asciiTheme="minorEastAsia" w:hAnsiTheme="minorEastAsia"/>
          <w:bCs/>
          <w:szCs w:val="21"/>
        </w:rPr>
        <w:t xml:space="preserve">30%+沪深300指数收益率×70%。 </w:t>
      </w:r>
    </w:p>
    <w:p w:rsidR="00C708E4" w:rsidRPr="00082553" w:rsidRDefault="00C708E4" w:rsidP="00082553">
      <w:pPr>
        <w:autoSpaceDE w:val="0"/>
        <w:autoSpaceDN w:val="0"/>
        <w:spacing w:line="360" w:lineRule="auto"/>
        <w:ind w:firstLineChars="200" w:firstLine="420"/>
        <w:textAlignment w:val="bottom"/>
        <w:rPr>
          <w:rFonts w:asciiTheme="minorEastAsia" w:eastAsiaTheme="minorEastAsia" w:hAnsiTheme="minorEastAsia"/>
          <w:bCs/>
          <w:szCs w:val="21"/>
        </w:rPr>
      </w:pPr>
      <w:r w:rsidRPr="00082553">
        <w:rPr>
          <w:rFonts w:asciiTheme="minorEastAsia" w:eastAsiaTheme="minorEastAsia" w:hAnsiTheme="minorEastAsia"/>
          <w:bCs/>
          <w:szCs w:val="21"/>
        </w:rPr>
        <w:t>2、自基金合同生效以来基金累计净值增长率变动及其与同期业绩比较基准收益率变动的比较</w:t>
      </w:r>
    </w:p>
    <w:p w:rsidR="00C708E4" w:rsidRPr="008E3064" w:rsidRDefault="00C708E4" w:rsidP="00C708E4">
      <w:pPr>
        <w:pStyle w:val="biaogeleft"/>
        <w:spacing w:line="360" w:lineRule="auto"/>
      </w:pPr>
      <w:r w:rsidRPr="00076FF5">
        <w:rPr>
          <w:rFonts w:hAnsi="Calibri"/>
          <w:noProof/>
          <w:color w:val="000000"/>
        </w:rPr>
        <w:lastRenderedPageBreak/>
        <w:drawing>
          <wp:inline distT="0" distB="0" distL="0" distR="0" wp14:anchorId="2F0E66D4" wp14:editId="568B8DD5">
            <wp:extent cx="5010150" cy="2555364"/>
            <wp:effectExtent l="0" t="0" r="0" b="0"/>
            <wp:docPr id="2" name="图片 2" descr="说明: D:\Program Files\FA_Client\Bin\MOD\TMP\CN_51130000_005104_FB030020_2018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04_FB030020_20180001_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08446" cy="2554495"/>
                    </a:xfrm>
                    <a:prstGeom prst="rect">
                      <a:avLst/>
                    </a:prstGeom>
                    <a:noFill/>
                    <a:ln>
                      <a:noFill/>
                    </a:ln>
                  </pic:spPr>
                </pic:pic>
              </a:graphicData>
            </a:graphic>
          </wp:inline>
        </w:drawing>
      </w:r>
    </w:p>
    <w:p w:rsidR="00C708E4" w:rsidRDefault="00C708E4" w:rsidP="00C708E4">
      <w:pPr>
        <w:pStyle w:val="biaogeleft"/>
        <w:spacing w:line="360" w:lineRule="auto"/>
      </w:pPr>
      <w:r w:rsidRPr="00076FF5">
        <w:rPr>
          <w:rFonts w:hAnsi="Calibri"/>
          <w:noProof/>
          <w:color w:val="000000"/>
        </w:rPr>
        <w:drawing>
          <wp:inline distT="0" distB="0" distL="0" distR="0" wp14:anchorId="42CD14C6" wp14:editId="50A2B516">
            <wp:extent cx="5102426" cy="3152775"/>
            <wp:effectExtent l="0" t="0" r="3175" b="0"/>
            <wp:docPr id="1" name="图片 1" descr="说明: D:\Program Files\FA_Client\Bin\MOD\TMP\CN_51130000_005104_FB030020_2018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04_FB030020_20180001_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09335" cy="3157044"/>
                    </a:xfrm>
                    <a:prstGeom prst="rect">
                      <a:avLst/>
                    </a:prstGeom>
                    <a:noFill/>
                    <a:ln>
                      <a:noFill/>
                    </a:ln>
                  </pic:spPr>
                </pic:pic>
              </a:graphicData>
            </a:graphic>
          </wp:inline>
        </w:drawing>
      </w:r>
    </w:p>
    <w:p w:rsidR="00A870EE" w:rsidRPr="00A870EE" w:rsidRDefault="00A870EE" w:rsidP="00AB1EF5">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注：①本</w:t>
      </w:r>
      <w:proofErr w:type="gramStart"/>
      <w:r w:rsidRPr="00A870EE">
        <w:rPr>
          <w:rFonts w:ascii="宋体" w:hAnsi="宋体" w:hint="eastAsia"/>
          <w:bCs/>
          <w:szCs w:val="21"/>
        </w:rPr>
        <w:t>基金基金</w:t>
      </w:r>
      <w:proofErr w:type="gramEnd"/>
      <w:r w:rsidRPr="00A870EE">
        <w:rPr>
          <w:rFonts w:ascii="宋体" w:hAnsi="宋体" w:hint="eastAsia"/>
          <w:bCs/>
          <w:szCs w:val="21"/>
        </w:rPr>
        <w:t>合同于2018年2月11日生效，截止2018年6月30日止，本基金成立未满一年；</w:t>
      </w:r>
      <w:r w:rsidRPr="00A870EE">
        <w:rPr>
          <w:rFonts w:ascii="宋体" w:hAnsi="宋体"/>
          <w:bCs/>
          <w:szCs w:val="21"/>
        </w:rPr>
        <w:br/>
      </w:r>
      <w:r w:rsidRPr="00A870EE">
        <w:rPr>
          <w:rFonts w:ascii="宋体" w:hAnsi="宋体" w:hint="eastAsia"/>
          <w:bCs/>
          <w:szCs w:val="21"/>
        </w:rPr>
        <w:t xml:space="preserve">    ②本基金建仓期为6个月，截止2018年6月30日止，本基金建仓期未满6个月。</w:t>
      </w:r>
      <w:bookmarkStart w:id="30" w:name="_Hlt81032199"/>
      <w:bookmarkStart w:id="31" w:name="_Hlt88821694"/>
      <w:bookmarkStart w:id="32" w:name="_Toc256666802"/>
      <w:bookmarkStart w:id="33" w:name="_Toc895"/>
      <w:bookmarkStart w:id="34" w:name="_Toc194043650"/>
      <w:bookmarkStart w:id="35" w:name="_Toc225576446"/>
      <w:bookmarkStart w:id="36" w:name="_Toc256666922"/>
      <w:bookmarkStart w:id="37" w:name="_Toc482624802"/>
      <w:bookmarkStart w:id="38" w:name="_Toc194043155"/>
      <w:bookmarkStart w:id="39" w:name="_Toc230166639"/>
      <w:bookmarkStart w:id="40" w:name="_Toc225445656"/>
      <w:bookmarkEnd w:id="25"/>
      <w:bookmarkEnd w:id="29"/>
      <w:bookmarkEnd w:id="30"/>
      <w:bookmarkEnd w:id="31"/>
    </w:p>
    <w:p w:rsidR="0045798E" w:rsidRDefault="007026B8" w:rsidP="00A870EE">
      <w:pPr>
        <w:pageBreakBefore/>
        <w:spacing w:beforeLines="50" w:before="156" w:afterLines="50" w:after="156" w:line="360" w:lineRule="auto"/>
        <w:ind w:firstLine="420"/>
        <w:jc w:val="center"/>
        <w:outlineLvl w:val="0"/>
        <w:rPr>
          <w:rFonts w:ascii="宋体" w:hAnsi="宋体"/>
          <w:b/>
          <w:color w:val="000000"/>
          <w:kern w:val="0"/>
          <w:sz w:val="24"/>
        </w:rPr>
      </w:pPr>
      <w:r>
        <w:rPr>
          <w:rFonts w:ascii="宋体" w:hAnsi="宋体" w:hint="eastAsia"/>
          <w:b/>
          <w:sz w:val="24"/>
        </w:rPr>
        <w:lastRenderedPageBreak/>
        <w:t>七、基金的费用与税收</w:t>
      </w:r>
      <w:bookmarkEnd w:id="32"/>
      <w:bookmarkEnd w:id="33"/>
      <w:bookmarkEnd w:id="34"/>
      <w:bookmarkEnd w:id="35"/>
      <w:bookmarkEnd w:id="36"/>
      <w:bookmarkEnd w:id="37"/>
      <w:bookmarkEnd w:id="38"/>
      <w:bookmarkEnd w:id="39"/>
      <w:bookmarkEnd w:id="40"/>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1、基金管理人的管理费；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3、C类基金份额</w:t>
      </w:r>
      <w:r w:rsidRPr="00A870EE">
        <w:rPr>
          <w:rFonts w:ascii="宋体" w:hAnsi="宋体"/>
          <w:bCs/>
          <w:szCs w:val="21"/>
        </w:rPr>
        <w:t>的</w:t>
      </w:r>
      <w:r w:rsidRPr="00A870EE">
        <w:rPr>
          <w:rFonts w:ascii="宋体" w:hAnsi="宋体" w:hint="eastAsia"/>
          <w:bCs/>
          <w:szCs w:val="21"/>
        </w:rPr>
        <w:t>销售服务费；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4</w:t>
      </w:r>
      <w:r w:rsidRPr="00A870EE">
        <w:rPr>
          <w:rFonts w:ascii="宋体" w:hAnsi="宋体"/>
          <w:bCs/>
          <w:szCs w:val="21"/>
        </w:rPr>
        <w:t>、《基金合同》生效后与基金相关的信息披露费用；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5</w:t>
      </w:r>
      <w:r w:rsidRPr="00A870EE">
        <w:rPr>
          <w:rFonts w:ascii="宋体" w:hAnsi="宋体"/>
          <w:bCs/>
          <w:szCs w:val="21"/>
        </w:rPr>
        <w:t>、《基金合同》生效后与基金相关的会计师费、律师费</w:t>
      </w:r>
      <w:r w:rsidRPr="00A870EE">
        <w:rPr>
          <w:rFonts w:ascii="宋体" w:hAnsi="宋体" w:hint="eastAsia"/>
          <w:bCs/>
          <w:szCs w:val="21"/>
        </w:rPr>
        <w:t>、</w:t>
      </w:r>
      <w:r w:rsidRPr="00A870EE">
        <w:rPr>
          <w:rFonts w:ascii="宋体" w:hAnsi="宋体"/>
          <w:bCs/>
          <w:szCs w:val="21"/>
        </w:rPr>
        <w:t>诉讼费</w:t>
      </w:r>
      <w:r w:rsidRPr="00A870EE">
        <w:rPr>
          <w:rFonts w:ascii="宋体" w:hAnsi="宋体" w:hint="eastAsia"/>
          <w:bCs/>
          <w:szCs w:val="21"/>
        </w:rPr>
        <w:t>和仲裁费</w:t>
      </w:r>
      <w:r w:rsidRPr="00A870EE">
        <w:rPr>
          <w:rFonts w:ascii="宋体" w:hAnsi="宋体"/>
          <w:bCs/>
          <w:szCs w:val="21"/>
        </w:rPr>
        <w:t>；</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6</w:t>
      </w:r>
      <w:r w:rsidRPr="00A870EE">
        <w:rPr>
          <w:rFonts w:ascii="宋体" w:hAnsi="宋体"/>
          <w:bCs/>
          <w:szCs w:val="21"/>
        </w:rPr>
        <w:t>、基金份额持有人大会费用；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7</w:t>
      </w:r>
      <w:r w:rsidRPr="00A870EE">
        <w:rPr>
          <w:rFonts w:ascii="宋体" w:hAnsi="宋体"/>
          <w:bCs/>
          <w:szCs w:val="21"/>
        </w:rPr>
        <w:t>、基金的证券</w:t>
      </w:r>
      <w:r w:rsidRPr="00A870EE">
        <w:rPr>
          <w:rFonts w:ascii="宋体" w:hAnsi="宋体" w:hint="eastAsia"/>
          <w:bCs/>
          <w:szCs w:val="21"/>
        </w:rPr>
        <w:t>、期货</w:t>
      </w:r>
      <w:r w:rsidRPr="00A870EE">
        <w:rPr>
          <w:rFonts w:ascii="宋体" w:hAnsi="宋体"/>
          <w:bCs/>
          <w:szCs w:val="21"/>
        </w:rPr>
        <w:t>交易费用；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8</w:t>
      </w:r>
      <w:r w:rsidRPr="00A870EE">
        <w:rPr>
          <w:rFonts w:ascii="宋体" w:hAnsi="宋体"/>
          <w:bCs/>
          <w:szCs w:val="21"/>
        </w:rPr>
        <w:t>、基金的银行汇划费用；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9</w:t>
      </w:r>
      <w:r w:rsidRPr="00A870EE">
        <w:rPr>
          <w:rFonts w:ascii="宋体" w:hAnsi="宋体"/>
          <w:bCs/>
          <w:szCs w:val="21"/>
        </w:rPr>
        <w:t>、</w:t>
      </w:r>
      <w:r w:rsidRPr="00A870EE">
        <w:rPr>
          <w:rFonts w:ascii="宋体" w:hAnsi="宋体" w:hint="eastAsia"/>
          <w:bCs/>
          <w:szCs w:val="21"/>
        </w:rPr>
        <w:t>基金的账户开户费用、账户维护费用；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10、</w:t>
      </w:r>
      <w:r w:rsidRPr="00A870EE">
        <w:rPr>
          <w:rFonts w:ascii="宋体" w:hAnsi="宋体"/>
          <w:bCs/>
          <w:szCs w:val="21"/>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 xml:space="preserve">1、基金管理人的管理费 </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本基金的管理费按前一日基金资产净值的</w:t>
      </w:r>
      <w:r w:rsidRPr="00A870EE">
        <w:rPr>
          <w:rFonts w:ascii="宋体" w:hAnsi="宋体" w:hint="eastAsia"/>
          <w:bCs/>
          <w:szCs w:val="21"/>
        </w:rPr>
        <w:t>1.5</w:t>
      </w:r>
      <w:r w:rsidRPr="00A870EE">
        <w:rPr>
          <w:rFonts w:ascii="宋体" w:hAnsi="宋体"/>
          <w:bCs/>
          <w:szCs w:val="21"/>
        </w:rPr>
        <w:t>%年费率计提。管理费的计算方法如下：</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1.5</w:t>
      </w:r>
      <w:r w:rsidRPr="00A870EE">
        <w:rPr>
          <w:rFonts w:ascii="宋体" w:hAnsi="宋体"/>
          <w:bCs/>
          <w:szCs w:val="21"/>
        </w:rPr>
        <w:t>%÷当年天数</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H为每日应计提的基金管理费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基金管理费每日计算，逐日累计至每月月末，按月支付</w:t>
      </w:r>
      <w:r w:rsidRPr="00A870EE">
        <w:rPr>
          <w:rFonts w:ascii="宋体" w:hAnsi="宋体" w:hint="eastAsia"/>
          <w:bCs/>
          <w:szCs w:val="21"/>
        </w:rPr>
        <w:t>，经基金管理人与基金托管人双方核对无误后，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于次月前5个工作日内从基金财产中一次性支付给基金管理人。若遇法定节假日、公休假等，支付日期顺延。</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本基金的托管费按前一日基金资产净值的</w:t>
      </w:r>
      <w:r w:rsidRPr="00A870EE">
        <w:rPr>
          <w:rFonts w:ascii="宋体" w:hAnsi="宋体" w:hint="eastAsia"/>
          <w:bCs/>
          <w:szCs w:val="21"/>
        </w:rPr>
        <w:t>0.15</w:t>
      </w:r>
      <w:r w:rsidRPr="00A870EE">
        <w:rPr>
          <w:rFonts w:ascii="宋体" w:hAnsi="宋体"/>
          <w:bCs/>
          <w:szCs w:val="21"/>
        </w:rPr>
        <w:t>%的年费率计提。托管费的计算方法如下：</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0.15%</w:t>
      </w:r>
      <w:r w:rsidRPr="00A870EE">
        <w:rPr>
          <w:rFonts w:ascii="宋体" w:hAnsi="宋体"/>
          <w:bCs/>
          <w:szCs w:val="21"/>
        </w:rPr>
        <w:t>÷当年天数</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H为每日应计提的基金托管费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基金托管费每日计算，逐日累计至每月月末，按月支付，经基金管理人与基金托管人双方核对无误后，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于次月前5个工作日内从基金财产中一次性支取。若遇法定节假日、公休日等，支付日期顺延。</w:t>
      </w:r>
      <w:r w:rsidRPr="00A870EE">
        <w:rPr>
          <w:rFonts w:ascii="宋体" w:hAnsi="宋体" w:cs="宋体" w:hint="eastAsia"/>
          <w:bCs/>
          <w:color w:val="000000"/>
          <w:szCs w:val="21"/>
        </w:rPr>
        <w:t>费用自动扣划后，基金管</w:t>
      </w:r>
      <w:r w:rsidRPr="00A870EE">
        <w:rPr>
          <w:rFonts w:ascii="宋体" w:hAnsi="宋体" w:cs="宋体" w:hint="eastAsia"/>
          <w:bCs/>
          <w:color w:val="000000"/>
          <w:szCs w:val="21"/>
        </w:rPr>
        <w:lastRenderedPageBreak/>
        <w:t>理人应进行核对，如发现数据不符，及时联系基金托管人协商解决。</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w:t>
      </w:r>
      <w:r w:rsidRPr="00A870EE">
        <w:rPr>
          <w:rFonts w:ascii="宋体" w:hAnsi="宋体" w:hint="eastAsia"/>
          <w:bCs/>
          <w:szCs w:val="21"/>
        </w:rPr>
        <w:t>、C类基金份额</w:t>
      </w:r>
      <w:r w:rsidRPr="00A870EE">
        <w:rPr>
          <w:rFonts w:ascii="宋体" w:hAnsi="宋体"/>
          <w:bCs/>
          <w:szCs w:val="21"/>
        </w:rPr>
        <w:t>的</w:t>
      </w:r>
      <w:r w:rsidRPr="00A870EE">
        <w:rPr>
          <w:rFonts w:ascii="宋体" w:hAnsi="宋体" w:hint="eastAsia"/>
          <w:bCs/>
          <w:szCs w:val="21"/>
        </w:rPr>
        <w:t>销售服务费</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w:t>
      </w:r>
      <w:r w:rsidRPr="00882DCD">
        <w:rPr>
          <w:rFonts w:ascii="宋体" w:hAnsi="宋体"/>
          <w:bCs/>
          <w:szCs w:val="21"/>
        </w:rPr>
        <w:t>A</w:t>
      </w:r>
      <w:r w:rsidRPr="00882DCD">
        <w:rPr>
          <w:rFonts w:ascii="宋体" w:hAnsi="宋体" w:hint="eastAsia"/>
          <w:bCs/>
          <w:szCs w:val="21"/>
        </w:rPr>
        <w:t>类基金份额不收取销售服务费，</w:t>
      </w:r>
      <w:r w:rsidRPr="00882DCD">
        <w:rPr>
          <w:rFonts w:ascii="宋体" w:hAnsi="宋体"/>
          <w:bCs/>
          <w:szCs w:val="21"/>
        </w:rPr>
        <w:t>C</w:t>
      </w:r>
      <w:r w:rsidRPr="00882DCD">
        <w:rPr>
          <w:rFonts w:ascii="宋体" w:hAnsi="宋体" w:hint="eastAsia"/>
          <w:bCs/>
          <w:szCs w:val="21"/>
        </w:rPr>
        <w:t>类基金份额的销售服务费年费率为</w:t>
      </w:r>
      <w:r w:rsidRPr="00882DCD">
        <w:rPr>
          <w:rFonts w:ascii="宋体" w:hAnsi="宋体"/>
          <w:bCs/>
          <w:szCs w:val="21"/>
        </w:rPr>
        <w:t>0.5%</w:t>
      </w:r>
      <w:r w:rsidRPr="00882DCD">
        <w:rPr>
          <w:rFonts w:ascii="宋体" w:hAnsi="宋体" w:hint="eastAsia"/>
          <w:bCs/>
          <w:szCs w:val="21"/>
        </w:rPr>
        <w:t>。</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本基金销售服务费将专门用于本基金的销售与基金份额持有人服务，销售服务费计提的计算公式如下：</w:t>
      </w:r>
      <w:r w:rsidRPr="00882DCD">
        <w:rPr>
          <w:rFonts w:ascii="宋体" w:hAnsi="宋体"/>
          <w:bCs/>
          <w:szCs w:val="21"/>
        </w:rPr>
        <w:t xml:space="preserve"> </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H=E</w:t>
      </w:r>
      <w:r w:rsidRPr="00882DCD">
        <w:rPr>
          <w:rFonts w:ascii="宋体" w:hAnsi="宋体" w:hint="eastAsia"/>
          <w:bCs/>
          <w:szCs w:val="21"/>
        </w:rPr>
        <w:t>×</w:t>
      </w:r>
      <w:r w:rsidRPr="00882DCD">
        <w:rPr>
          <w:rFonts w:ascii="宋体" w:hAnsi="宋体"/>
          <w:bCs/>
          <w:szCs w:val="21"/>
        </w:rPr>
        <w:t>0.5%</w:t>
      </w:r>
      <w:r w:rsidRPr="00882DCD">
        <w:rPr>
          <w:rFonts w:ascii="宋体" w:hAnsi="宋体" w:hint="eastAsia"/>
          <w:bCs/>
          <w:szCs w:val="21"/>
        </w:rPr>
        <w:t>÷当年天数</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类基金份额每日应计提的销售服务费</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E</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类基金份额前一日基金资产净值</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基金销售服务费每日计算，逐日累计至每月月末，按月支付。经基金管理人与基金托管人双方核对无误后，基金托管人按照与基金管理人协商一致的方式于次月前</w:t>
      </w:r>
      <w:r w:rsidRPr="00882DCD">
        <w:rPr>
          <w:rFonts w:ascii="宋体" w:hAnsi="宋体"/>
          <w:bCs/>
          <w:szCs w:val="21"/>
        </w:rPr>
        <w:t>5</w:t>
      </w:r>
      <w:r w:rsidRPr="00882DCD">
        <w:rPr>
          <w:rFonts w:ascii="宋体" w:hAnsi="宋体" w:hint="eastAsia"/>
          <w:bCs/>
          <w:szCs w:val="21"/>
        </w:rPr>
        <w:t>个工作日内从基金财产中一次性支付给基金管理人。若遇法定节假日、公休假等，支付日期顺延。</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上述“一、基金费用的种类”中第</w:t>
      </w:r>
      <w:r w:rsidRPr="00882DCD">
        <w:rPr>
          <w:rFonts w:ascii="宋体" w:hAnsi="宋体"/>
          <w:bCs/>
          <w:szCs w:val="21"/>
        </w:rPr>
        <w:t>4</w:t>
      </w:r>
      <w:r w:rsidRPr="00882DCD">
        <w:rPr>
          <w:rFonts w:ascii="宋体" w:hAnsi="宋体" w:hint="eastAsia"/>
          <w:bCs/>
          <w:szCs w:val="21"/>
        </w:rPr>
        <w:t>－</w:t>
      </w:r>
      <w:r w:rsidRPr="00882DCD">
        <w:rPr>
          <w:rFonts w:ascii="宋体" w:hAnsi="宋体"/>
          <w:bCs/>
          <w:szCs w:val="21"/>
        </w:rPr>
        <w:t>10</w:t>
      </w:r>
      <w:r w:rsidRPr="00882DCD">
        <w:rPr>
          <w:rFonts w:ascii="宋体" w:hAnsi="宋体" w:hint="eastAsia"/>
          <w:bCs/>
          <w:szCs w:val="21"/>
        </w:rPr>
        <w:t>项费用，根据有关法规及相应协议规定，按费用实际支出金额列入当期费用，由基金托管人从基金财产中支付。</w:t>
      </w:r>
    </w:p>
    <w:p w:rsidR="001050ED" w:rsidRPr="00312A0B" w:rsidRDefault="001050ED" w:rsidP="00A870EE">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下列费用不列入基金费用：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1、基金管理人和基金托管人因未履行或未完全履行义务导致的费用支出或基金财产的损失；</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2、基金管理人和基金托管人处理与基金运作无关的事项发生的费用；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3、《基金合同》生效前的相关费用；</w:t>
      </w:r>
    </w:p>
    <w:p w:rsidR="00977619" w:rsidRDefault="00A870EE" w:rsidP="00F24C3C">
      <w:pPr>
        <w:autoSpaceDE w:val="0"/>
        <w:autoSpaceDN w:val="0"/>
        <w:spacing w:line="360" w:lineRule="auto"/>
        <w:ind w:firstLineChars="200" w:firstLine="420"/>
        <w:textAlignment w:val="bottom"/>
        <w:rPr>
          <w:rFonts w:ascii="宋体" w:hAnsi="宋体"/>
          <w:b/>
          <w:color w:val="000000"/>
          <w:kern w:val="0"/>
          <w:szCs w:val="21"/>
        </w:rPr>
      </w:pPr>
      <w:r w:rsidRPr="00A870EE">
        <w:rPr>
          <w:rFonts w:ascii="宋体" w:hAnsi="宋体"/>
          <w:bCs/>
          <w:szCs w:val="21"/>
        </w:rPr>
        <w:t>4、其他根据相关法律法规及中国证监会的有关规定不得列入基金费用的项目。</w:t>
      </w:r>
      <w:bookmarkStart w:id="41" w:name="_Hlt88827255"/>
      <w:bookmarkEnd w:id="41"/>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A870EE" w:rsidRPr="00A870EE" w:rsidRDefault="00A870EE" w:rsidP="00A870EE">
      <w:pPr>
        <w:autoSpaceDE w:val="0"/>
        <w:autoSpaceDN w:val="0"/>
        <w:spacing w:line="360" w:lineRule="auto"/>
        <w:ind w:firstLineChars="200" w:firstLine="420"/>
        <w:textAlignment w:val="bottom"/>
        <w:rPr>
          <w:bCs/>
          <w:szCs w:val="21"/>
        </w:rPr>
      </w:pPr>
      <w:r w:rsidRPr="00A870EE">
        <w:rPr>
          <w:bCs/>
          <w:szCs w:val="21"/>
        </w:rPr>
        <w:t>本基金运作过程中涉及的各纳税主体，其纳税义务按国家税收法律、法规执行。</w:t>
      </w:r>
    </w:p>
    <w:p w:rsidR="00A870EE" w:rsidRPr="00A870EE" w:rsidRDefault="00A870EE" w:rsidP="00A870EE">
      <w:pPr>
        <w:autoSpaceDE w:val="0"/>
        <w:autoSpaceDN w:val="0"/>
        <w:spacing w:line="360" w:lineRule="auto"/>
        <w:ind w:firstLineChars="200" w:firstLine="420"/>
        <w:textAlignment w:val="bottom"/>
        <w:rPr>
          <w:rFonts w:asciiTheme="minorEastAsia" w:hAnsiTheme="minorEastAsia"/>
          <w:bCs/>
          <w:szCs w:val="21"/>
        </w:rPr>
        <w:sectPr w:rsidR="00A870EE" w:rsidRPr="00A870EE" w:rsidSect="00C70DA5">
          <w:headerReference w:type="default" r:id="rId24"/>
          <w:footerReference w:type="default" r:id="rId25"/>
          <w:headerReference w:type="first" r:id="rId26"/>
          <w:pgSz w:w="11906" w:h="16838"/>
          <w:pgMar w:top="1440" w:right="1800" w:bottom="1440" w:left="1800" w:header="851" w:footer="992" w:gutter="0"/>
          <w:pgNumType w:chapStyle="1"/>
          <w:cols w:space="720"/>
          <w:docGrid w:type="lines" w:linePitch="312"/>
        </w:sectPr>
      </w:pPr>
      <w:r w:rsidRPr="00A870EE">
        <w:rPr>
          <w:rFonts w:hint="eastAsia"/>
          <w:bCs/>
          <w:szCs w:val="21"/>
        </w:rPr>
        <w:t>基金财产投资的相关税收，由基金份额持有人承担，基金管理人或者其他扣缴义务人按照国家有关税收征收的规定代扣代缴。</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4、对“五、相关服务机构”部分内容进行了更新；</w:t>
      </w:r>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5、对“六、基金的</w:t>
      </w:r>
      <w:r w:rsidR="00977619">
        <w:rPr>
          <w:rFonts w:ascii="宋体" w:hAnsi="宋体" w:hint="eastAsia"/>
          <w:color w:val="000000"/>
          <w:szCs w:val="21"/>
        </w:rPr>
        <w:t>募集</w:t>
      </w:r>
      <w:r>
        <w:rPr>
          <w:rFonts w:ascii="宋体" w:hAnsi="宋体" w:hint="eastAsia"/>
          <w:color w:val="000000"/>
          <w:szCs w:val="21"/>
        </w:rPr>
        <w:t>”部分内容进行了更新；</w:t>
      </w:r>
    </w:p>
    <w:p w:rsidR="00977619" w:rsidRDefault="001E6E56" w:rsidP="00312A0B">
      <w:pPr>
        <w:spacing w:line="360" w:lineRule="auto"/>
        <w:ind w:leftChars="50" w:left="105" w:firstLineChars="150" w:firstLine="315"/>
        <w:rPr>
          <w:rFonts w:ascii="宋体" w:hAnsi="宋体"/>
          <w:color w:val="000000"/>
          <w:szCs w:val="21"/>
        </w:rPr>
      </w:pPr>
      <w:r>
        <w:rPr>
          <w:rFonts w:ascii="宋体" w:hAnsi="宋体" w:hint="eastAsia"/>
          <w:color w:val="000000"/>
          <w:szCs w:val="21"/>
        </w:rPr>
        <w:t>6、</w:t>
      </w:r>
      <w:r w:rsidR="004F229F">
        <w:rPr>
          <w:rFonts w:ascii="宋体" w:hAnsi="宋体" w:hint="eastAsia"/>
          <w:color w:val="000000"/>
          <w:szCs w:val="21"/>
        </w:rPr>
        <w:t>对“七、基金合同的生效”部分内容进行了更新；</w:t>
      </w:r>
    </w:p>
    <w:p w:rsidR="00941CF2" w:rsidRDefault="004F229F" w:rsidP="00312A0B">
      <w:pPr>
        <w:spacing w:line="360" w:lineRule="auto"/>
        <w:ind w:leftChars="50" w:left="105" w:firstLineChars="150" w:firstLine="315"/>
        <w:rPr>
          <w:rFonts w:ascii="宋体" w:hAnsi="宋体"/>
          <w:color w:val="000000"/>
          <w:szCs w:val="21"/>
        </w:rPr>
      </w:pPr>
      <w:r>
        <w:rPr>
          <w:rFonts w:ascii="宋体" w:hAnsi="宋体" w:hint="eastAsia"/>
          <w:color w:val="000000"/>
          <w:szCs w:val="21"/>
        </w:rPr>
        <w:t>7</w:t>
      </w:r>
      <w:r w:rsidR="00941CF2">
        <w:rPr>
          <w:rFonts w:ascii="宋体" w:hAnsi="宋体" w:hint="eastAsia"/>
          <w:color w:val="000000"/>
          <w:szCs w:val="21"/>
        </w:rPr>
        <w:t>、对“八、基金份额的申购与赎回”部分内容进行了更新；</w:t>
      </w:r>
    </w:p>
    <w:p w:rsidR="00941CF2" w:rsidRDefault="00977619" w:rsidP="00941CF2">
      <w:pPr>
        <w:spacing w:line="360" w:lineRule="auto"/>
        <w:ind w:firstLineChars="200" w:firstLine="420"/>
        <w:rPr>
          <w:rFonts w:ascii="宋体" w:hAnsi="宋体"/>
          <w:color w:val="000000"/>
          <w:szCs w:val="21"/>
        </w:rPr>
      </w:pPr>
      <w:r>
        <w:rPr>
          <w:rFonts w:ascii="宋体" w:hAnsi="宋体" w:hint="eastAsia"/>
          <w:color w:val="000000"/>
          <w:szCs w:val="21"/>
        </w:rPr>
        <w:t>8</w:t>
      </w:r>
      <w:r w:rsidR="00941CF2">
        <w:rPr>
          <w:rFonts w:ascii="宋体" w:hAnsi="宋体" w:hint="eastAsia"/>
          <w:color w:val="000000"/>
          <w:szCs w:val="21"/>
        </w:rPr>
        <w:t>、对“九、基金的投资”部分内容进行了更新；</w:t>
      </w:r>
    </w:p>
    <w:p w:rsidR="00353320" w:rsidRDefault="00353320" w:rsidP="00941CF2">
      <w:pPr>
        <w:spacing w:line="360" w:lineRule="auto"/>
        <w:ind w:firstLineChars="200" w:firstLine="420"/>
        <w:rPr>
          <w:rFonts w:ascii="宋体" w:hAnsi="宋体"/>
          <w:color w:val="000000"/>
          <w:szCs w:val="21"/>
        </w:rPr>
      </w:pPr>
      <w:r>
        <w:rPr>
          <w:rFonts w:ascii="宋体" w:hAnsi="宋体" w:hint="eastAsia"/>
          <w:color w:val="000000"/>
          <w:szCs w:val="21"/>
        </w:rPr>
        <w:t>9、对“十三、基金费用与税收”部分内容进行了更新；</w:t>
      </w:r>
    </w:p>
    <w:p w:rsidR="00941CF2" w:rsidRDefault="00353320" w:rsidP="00941CF2">
      <w:pPr>
        <w:spacing w:line="360" w:lineRule="auto"/>
        <w:ind w:firstLineChars="200" w:firstLine="420"/>
        <w:rPr>
          <w:rFonts w:ascii="宋体" w:hAnsi="宋体"/>
          <w:color w:val="000000"/>
          <w:szCs w:val="21"/>
        </w:rPr>
      </w:pPr>
      <w:r>
        <w:rPr>
          <w:rFonts w:ascii="宋体" w:hAnsi="宋体" w:hint="eastAsia"/>
          <w:color w:val="000000"/>
          <w:szCs w:val="21"/>
        </w:rPr>
        <w:t>10</w:t>
      </w:r>
      <w:r w:rsidR="00941CF2">
        <w:rPr>
          <w:rFonts w:ascii="宋体" w:hAnsi="宋体" w:hint="eastAsia"/>
          <w:color w:val="000000"/>
          <w:szCs w:val="21"/>
        </w:rPr>
        <w:t>、对“二十一、其它应披露事项”部分内容进行了更新。</w:t>
      </w:r>
    </w:p>
    <w:p w:rsidR="0045798E" w:rsidRPr="00353320"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312A0B">
      <w:pPr>
        <w:wordWrap w:val="0"/>
        <w:spacing w:line="360" w:lineRule="auto"/>
        <w:jc w:val="right"/>
        <w:rPr>
          <w:rFonts w:ascii="宋体" w:hAnsi="宋体"/>
          <w:color w:val="000000"/>
          <w:sz w:val="24"/>
        </w:rPr>
      </w:pPr>
      <w:r w:rsidRPr="00DE07E1">
        <w:rPr>
          <w:rFonts w:ascii="宋体" w:hAnsi="宋体" w:hint="eastAsia"/>
          <w:color w:val="000000"/>
          <w:kern w:val="0"/>
          <w:szCs w:val="21"/>
        </w:rPr>
        <w:t>二〇一八年</w:t>
      </w:r>
      <w:r>
        <w:rPr>
          <w:rFonts w:ascii="宋体" w:hAnsi="宋体" w:hint="eastAsia"/>
          <w:color w:val="000000"/>
          <w:kern w:val="0"/>
          <w:szCs w:val="21"/>
        </w:rPr>
        <w:t>九</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27"/>
      <w:footerReference w:type="default" r:id="rId28"/>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C55" w:rsidRDefault="00721C55">
      <w:r>
        <w:separator/>
      </w:r>
    </w:p>
  </w:endnote>
  <w:endnote w:type="continuationSeparator" w:id="0">
    <w:p w:rsidR="00721C55" w:rsidRDefault="00721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6718"/>
      <w:docPartObj>
        <w:docPartGallery w:val="Page Numbers (Bottom of Page)"/>
        <w:docPartUnique/>
      </w:docPartObj>
    </w:sdtPr>
    <w:sdtEndPr/>
    <w:sdtContent>
      <w:p w:rsidR="00A870EE" w:rsidRDefault="00A870EE">
        <w:pPr>
          <w:pStyle w:val="ab"/>
          <w:jc w:val="center"/>
        </w:pPr>
        <w:r>
          <w:fldChar w:fldCharType="begin"/>
        </w:r>
        <w:r>
          <w:instrText>PAGE   \* MERGEFORMAT</w:instrText>
        </w:r>
        <w:r>
          <w:fldChar w:fldCharType="separate"/>
        </w:r>
        <w:r w:rsidR="00F626B4" w:rsidRPr="00F626B4">
          <w:rPr>
            <w:noProof/>
            <w:lang w:val="zh-CN"/>
          </w:rPr>
          <w:t>30</w:t>
        </w:r>
        <w:r>
          <w:fldChar w:fldCharType="end"/>
        </w:r>
      </w:p>
    </w:sdtContent>
  </w:sdt>
  <w:p w:rsidR="00A870EE" w:rsidRDefault="00A870EE">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8E4" w:rsidRDefault="00C708E4">
    <w:pPr>
      <w:pStyle w:val="ab"/>
      <w:jc w:val="center"/>
    </w:pPr>
    <w:r>
      <w:fldChar w:fldCharType="begin"/>
    </w:r>
    <w:r>
      <w:instrText>PAGE   \* MERGEFORMAT</w:instrText>
    </w:r>
    <w:r>
      <w:fldChar w:fldCharType="separate"/>
    </w:r>
    <w:r w:rsidR="00A870EE" w:rsidRPr="00A870EE">
      <w:rPr>
        <w:noProof/>
        <w:lang w:val="zh-CN"/>
      </w:rPr>
      <w:t>34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C55" w:rsidRDefault="00721C55">
      <w:r>
        <w:separator/>
      </w:r>
    </w:p>
  </w:footnote>
  <w:footnote w:type="continuationSeparator" w:id="0">
    <w:p w:rsidR="00721C55" w:rsidRDefault="00721C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C3C" w:rsidRDefault="00F24C3C" w:rsidP="00F24C3C">
    <w:pPr>
      <w:pStyle w:val="ac"/>
      <w:jc w:val="both"/>
    </w:pPr>
    <w:r>
      <w:rPr>
        <w:rFonts w:hint="eastAsia"/>
      </w:rPr>
      <w:t>富荣福康混合型证券投资基金更新的招募说明书摘要（</w:t>
    </w:r>
    <w:r>
      <w:rPr>
        <w:rFonts w:hint="eastAsia"/>
      </w:rPr>
      <w:t>2018</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C3C" w:rsidRDefault="00F24C3C" w:rsidP="00F24C3C">
    <w:pPr>
      <w:pStyle w:val="ac"/>
      <w:jc w:val="left"/>
    </w:pPr>
    <w:r>
      <w:rPr>
        <w:rFonts w:hint="eastAsia"/>
      </w:rPr>
      <w:t>富荣福康混合型证券投资基金更新的招募说明书摘要（</w:t>
    </w:r>
    <w:r>
      <w:rPr>
        <w:rFonts w:hint="eastAsia"/>
      </w:rPr>
      <w:t>2018</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8E4" w:rsidRDefault="00C708E4">
    <w:pPr>
      <w:pStyle w:val="ac"/>
      <w:jc w:val="left"/>
    </w:pPr>
    <w:r w:rsidRPr="00141D1C">
      <w:rPr>
        <w:rFonts w:hint="eastAsia"/>
      </w:rPr>
      <w:t>富荣福康混合型</w:t>
    </w:r>
    <w:r w:rsidRPr="007026B8">
      <w:rPr>
        <w:rFonts w:hint="eastAsia"/>
      </w:rPr>
      <w:t>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47E81"/>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65"/>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553"/>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223"/>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3D3"/>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1C"/>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1AC"/>
    <w:rsid w:val="002072CA"/>
    <w:rsid w:val="002077E2"/>
    <w:rsid w:val="00207B0A"/>
    <w:rsid w:val="00207C37"/>
    <w:rsid w:val="00210113"/>
    <w:rsid w:val="00210822"/>
    <w:rsid w:val="00211953"/>
    <w:rsid w:val="00211BED"/>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433"/>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14AF"/>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311"/>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0B4"/>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320"/>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524"/>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03"/>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438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6A29"/>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6CBA"/>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4E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6A"/>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5BE"/>
    <w:rsid w:val="005F3D19"/>
    <w:rsid w:val="005F3FE4"/>
    <w:rsid w:val="005F4475"/>
    <w:rsid w:val="005F4A45"/>
    <w:rsid w:val="005F5298"/>
    <w:rsid w:val="005F616B"/>
    <w:rsid w:val="005F617B"/>
    <w:rsid w:val="005F6237"/>
    <w:rsid w:val="005F6B95"/>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9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E7E83"/>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1C55"/>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8E7"/>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627F"/>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2DCD"/>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408"/>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04"/>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3DC4"/>
    <w:rsid w:val="009557F4"/>
    <w:rsid w:val="009558AB"/>
    <w:rsid w:val="009558ED"/>
    <w:rsid w:val="00955B2E"/>
    <w:rsid w:val="00955D7D"/>
    <w:rsid w:val="0095689D"/>
    <w:rsid w:val="00956D35"/>
    <w:rsid w:val="00956DA1"/>
    <w:rsid w:val="00956E7E"/>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619"/>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35A9"/>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0EE"/>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EF5"/>
    <w:rsid w:val="00AB1F4D"/>
    <w:rsid w:val="00AB22BA"/>
    <w:rsid w:val="00AB3C5E"/>
    <w:rsid w:val="00AB4509"/>
    <w:rsid w:val="00AB45E3"/>
    <w:rsid w:val="00AB4B7F"/>
    <w:rsid w:val="00AB4CEE"/>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08"/>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9FA"/>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2B7"/>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8E4"/>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693"/>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8B4"/>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A31"/>
    <w:rsid w:val="00DE7DA2"/>
    <w:rsid w:val="00DE7E51"/>
    <w:rsid w:val="00DF0573"/>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5800"/>
    <w:rsid w:val="00E160EB"/>
    <w:rsid w:val="00E16269"/>
    <w:rsid w:val="00E166D4"/>
    <w:rsid w:val="00E1679B"/>
    <w:rsid w:val="00E16E67"/>
    <w:rsid w:val="00E17569"/>
    <w:rsid w:val="00E2003E"/>
    <w:rsid w:val="00E20778"/>
    <w:rsid w:val="00E21135"/>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1A9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6EB"/>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25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4C3C"/>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6B4"/>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711"/>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98D"/>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4A5B"/>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81E"/>
    <w:rsid w:val="00FF6B50"/>
    <w:rsid w:val="00FF6CA6"/>
    <w:rsid w:val="00FF7389"/>
    <w:rsid w:val="00FF73F7"/>
    <w:rsid w:val="00FF7816"/>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4108">
      <w:bodyDiv w:val="1"/>
      <w:marLeft w:val="0"/>
      <w:marRight w:val="0"/>
      <w:marTop w:val="0"/>
      <w:marBottom w:val="0"/>
      <w:divBdr>
        <w:top w:val="none" w:sz="0" w:space="0" w:color="auto"/>
        <w:left w:val="none" w:sz="0" w:space="0" w:color="auto"/>
        <w:bottom w:val="none" w:sz="0" w:space="0" w:color="auto"/>
        <w:right w:val="none" w:sz="0" w:space="0" w:color="auto"/>
      </w:divBdr>
    </w:div>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017080379">
      <w:bodyDiv w:val="1"/>
      <w:marLeft w:val="0"/>
      <w:marRight w:val="0"/>
      <w:marTop w:val="0"/>
      <w:marBottom w:val="0"/>
      <w:divBdr>
        <w:top w:val="none" w:sz="0" w:space="0" w:color="auto"/>
        <w:left w:val="none" w:sz="0" w:space="0" w:color="auto"/>
        <w:bottom w:val="none" w:sz="0" w:space="0" w:color="auto"/>
        <w:right w:val="none" w:sz="0" w:space="0" w:color="auto"/>
      </w:divBdr>
    </w:div>
    <w:div w:id="1415589861">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und.jd.com" TargetMode="External"/><Relationship Id="rId18" Type="http://schemas.openxmlformats.org/officeDocument/2006/relationships/hyperlink" Target="http://www.yingmi.cn" TargetMode="External"/><Relationship Id="rId26"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hyperlink" Target="http://www.jianfortune.com" TargetMode="External"/><Relationship Id="rId7" Type="http://schemas.openxmlformats.org/officeDocument/2006/relationships/webSettings" Target="webSettings.xml"/><Relationship Id="rId12" Type="http://schemas.openxmlformats.org/officeDocument/2006/relationships/hyperlink" Target="http://www.dtfunds.com" TargetMode="External"/><Relationship Id="rId17" Type="http://schemas.openxmlformats.org/officeDocument/2006/relationships/hyperlink" Target="http://www.66zichan.com/"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keynesasset.com" TargetMode="External"/><Relationship Id="rId20" Type="http://schemas.openxmlformats.org/officeDocument/2006/relationships/hyperlink" Target="http://www.taichengcaifu.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yperlink" Target="http://www.lufunds.com" TargetMode="External"/><Relationship Id="rId23" Type="http://schemas.openxmlformats.org/officeDocument/2006/relationships/image" Target="media/image2.jpeg"/><Relationship Id="rId28" Type="http://schemas.openxmlformats.org/officeDocument/2006/relationships/footer" Target="footer2.xml"/><Relationship Id="rId10" Type="http://schemas.openxmlformats.org/officeDocument/2006/relationships/hyperlink" Target="http://www.cebbank.com" TargetMode="External"/><Relationship Id="rId19" Type="http://schemas.openxmlformats.org/officeDocument/2006/relationships/hyperlink" Target="http://www.hcjijin.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niuji.net" TargetMode="External"/><Relationship Id="rId22" Type="http://schemas.openxmlformats.org/officeDocument/2006/relationships/image" Target="media/image1.jpe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D0BD7C-A111-446D-99FD-CDF91415B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31</Pages>
  <Words>3046</Words>
  <Characters>17364</Characters>
  <Application>Microsoft Office Word</Application>
  <DocSecurity>0</DocSecurity>
  <Lines>144</Lines>
  <Paragraphs>40</Paragraphs>
  <ScaleCrop>false</ScaleCrop>
  <Company>Microsoft</Company>
  <LinksUpToDate>false</LinksUpToDate>
  <CharactersWithSpaces>20370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余卿嵘</cp:lastModifiedBy>
  <cp:revision>46</cp:revision>
  <cp:lastPrinted>2016-08-24T01:43:00Z</cp:lastPrinted>
  <dcterms:created xsi:type="dcterms:W3CDTF">2017-06-12T09:34:00Z</dcterms:created>
  <dcterms:modified xsi:type="dcterms:W3CDTF">2018-09-20T02:04:00Z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